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BFD" w:rsidRPr="00EE3FD3" w:rsidRDefault="004F6BFD">
      <w:pPr>
        <w:rPr>
          <w:rFonts w:ascii="Arial" w:hAnsi="Arial" w:cs="Arial"/>
        </w:rPr>
      </w:pPr>
    </w:p>
    <w:p w:rsidR="004F6BFD" w:rsidRPr="00EE3FD3" w:rsidRDefault="00EE3FD3">
      <w:pPr>
        <w:pStyle w:val="AbstractBookSessionDetails"/>
        <w:rPr>
          <w:rFonts w:ascii="Arial" w:hAnsi="Arial" w:cs="Arial"/>
          <w:sz w:val="20"/>
        </w:rPr>
      </w:pPr>
      <w:r w:rsidRPr="00EE3FD3">
        <w:rPr>
          <w:rFonts w:ascii="Arial" w:hAnsi="Arial" w:cs="Arial"/>
          <w:sz w:val="20"/>
        </w:rPr>
        <w:t>Session one, August 24, 2018, 9:30 AM - 11:00 AM</w:t>
      </w:r>
    </w:p>
    <w:p w:rsidR="004F6BFD" w:rsidRPr="00EE3FD3" w:rsidRDefault="004F6BFD">
      <w:pPr>
        <w:pStyle w:val="AbstractBookBaseParagraph"/>
        <w:rPr>
          <w:rFonts w:ascii="Arial" w:hAnsi="Arial" w:cs="Arial"/>
        </w:rPr>
      </w:pPr>
    </w:p>
    <w:p w:rsidR="004F6BFD" w:rsidRPr="00EE3FD3" w:rsidRDefault="00EE3FD3">
      <w:pPr>
        <w:rPr>
          <w:rFonts w:ascii="Arial" w:hAnsi="Arial" w:cs="Arial"/>
          <w:b/>
          <w:sz w:val="24"/>
        </w:rPr>
      </w:pPr>
      <w:r w:rsidRPr="00EE3FD3">
        <w:rPr>
          <w:rFonts w:ascii="Arial" w:hAnsi="Arial" w:cs="Arial"/>
          <w:b/>
          <w:sz w:val="24"/>
        </w:rPr>
        <w:t xml:space="preserve">A common variation in the </w:t>
      </w:r>
      <w:r w:rsidRPr="00EE3FD3">
        <w:rPr>
          <w:rFonts w:ascii="Arial" w:hAnsi="Arial" w:cs="Arial"/>
          <w:b/>
          <w:i/>
          <w:sz w:val="24"/>
        </w:rPr>
        <w:t>IL6</w:t>
      </w:r>
      <w:r w:rsidRPr="00EE3FD3">
        <w:rPr>
          <w:rFonts w:ascii="Arial" w:hAnsi="Arial" w:cs="Arial"/>
          <w:b/>
          <w:sz w:val="24"/>
        </w:rPr>
        <w:t xml:space="preserve"> promoter predicts time to metastasis for colorectal cancer and may indicate the mechanisms involved</w:t>
      </w:r>
    </w:p>
    <w:p w:rsidR="004F6BFD" w:rsidRPr="00EE3FD3" w:rsidRDefault="00EE3FD3">
      <w:pPr>
        <w:rPr>
          <w:rFonts w:ascii="Arial" w:hAnsi="Arial" w:cs="Arial"/>
          <w:i/>
          <w:sz w:val="20"/>
        </w:rPr>
      </w:pPr>
      <w:r w:rsidRPr="00EE3FD3">
        <w:rPr>
          <w:rFonts w:ascii="Arial" w:hAnsi="Arial" w:cs="Arial"/>
          <w:b/>
          <w:sz w:val="24"/>
        </w:rPr>
        <w:br/>
      </w:r>
      <w:r w:rsidRPr="00EE3FD3">
        <w:rPr>
          <w:rFonts w:ascii="Arial" w:hAnsi="Arial" w:cs="Arial"/>
          <w:sz w:val="20"/>
        </w:rPr>
        <w:t>Munro, Fran</w:t>
      </w:r>
      <w:r w:rsidRPr="00EE3FD3">
        <w:rPr>
          <w:rFonts w:ascii="Arial" w:hAnsi="Arial" w:cs="Arial"/>
          <w:sz w:val="20"/>
          <w:vertAlign w:val="superscript"/>
        </w:rPr>
        <w:t>1</w:t>
      </w:r>
      <w:r w:rsidRPr="00EE3FD3">
        <w:rPr>
          <w:rFonts w:ascii="Arial" w:hAnsi="Arial" w:cs="Arial"/>
          <w:b/>
          <w:sz w:val="20"/>
        </w:rPr>
        <w:t xml:space="preserve">, </w:t>
      </w:r>
      <w:proofErr w:type="spellStart"/>
      <w:r w:rsidRPr="00EE3FD3">
        <w:rPr>
          <w:rFonts w:ascii="Arial" w:hAnsi="Arial" w:cs="Arial"/>
          <w:sz w:val="20"/>
        </w:rPr>
        <w:t>Gimenez</w:t>
      </w:r>
      <w:proofErr w:type="spellEnd"/>
      <w:r w:rsidRPr="00EE3FD3">
        <w:rPr>
          <w:rFonts w:ascii="Arial" w:hAnsi="Arial" w:cs="Arial"/>
          <w:sz w:val="20"/>
        </w:rPr>
        <w:t>, Gregory</w:t>
      </w:r>
      <w:r w:rsidRPr="00EE3FD3">
        <w:rPr>
          <w:rFonts w:ascii="Arial" w:hAnsi="Arial" w:cs="Arial"/>
          <w:sz w:val="20"/>
          <w:vertAlign w:val="superscript"/>
        </w:rPr>
        <w:t>2</w:t>
      </w:r>
      <w:r w:rsidRPr="00EE3FD3">
        <w:rPr>
          <w:rFonts w:ascii="Arial" w:hAnsi="Arial" w:cs="Arial"/>
          <w:sz w:val="20"/>
        </w:rPr>
        <w:t xml:space="preserve">, Shepherd, Peter </w:t>
      </w:r>
      <w:r w:rsidRPr="00EE3FD3">
        <w:rPr>
          <w:rFonts w:ascii="Arial" w:hAnsi="Arial" w:cs="Arial"/>
          <w:sz w:val="20"/>
          <w:vertAlign w:val="superscript"/>
        </w:rPr>
        <w:t>3</w:t>
      </w:r>
      <w:r w:rsidRPr="00EE3FD3">
        <w:rPr>
          <w:rFonts w:ascii="Arial" w:hAnsi="Arial" w:cs="Arial"/>
          <w:sz w:val="20"/>
        </w:rPr>
        <w:t>, Braithwaite, Antony</w:t>
      </w:r>
      <w:r w:rsidRPr="00EE3FD3">
        <w:rPr>
          <w:rFonts w:ascii="Arial" w:hAnsi="Arial" w:cs="Arial"/>
          <w:sz w:val="20"/>
          <w:vertAlign w:val="superscript"/>
        </w:rPr>
        <w:t>2</w:t>
      </w:r>
      <w:r w:rsidRPr="00EE3FD3">
        <w:rPr>
          <w:rFonts w:ascii="Arial" w:hAnsi="Arial" w:cs="Arial"/>
          <w:sz w:val="20"/>
        </w:rPr>
        <w:t>,</w:t>
      </w:r>
      <w:r w:rsidRPr="00EE3FD3">
        <w:rPr>
          <w:rFonts w:ascii="Arial" w:hAnsi="Arial" w:cs="Arial"/>
          <w:sz w:val="20"/>
        </w:rPr>
        <w:t xml:space="preserve"> McCall, John</w:t>
      </w:r>
      <w:r w:rsidRPr="00EE3FD3">
        <w:rPr>
          <w:rFonts w:ascii="Arial" w:hAnsi="Arial" w:cs="Arial"/>
          <w:sz w:val="20"/>
          <w:vertAlign w:val="superscript"/>
        </w:rPr>
        <w:t>1</w:t>
      </w:r>
      <w:r w:rsidRPr="00EE3FD3">
        <w:rPr>
          <w:rFonts w:ascii="Arial" w:hAnsi="Arial" w:cs="Arial"/>
          <w:sz w:val="20"/>
        </w:rPr>
        <w:t xml:space="preserve">, </w:t>
      </w:r>
      <w:r w:rsidRPr="00EE3FD3">
        <w:rPr>
          <w:rFonts w:ascii="Arial" w:hAnsi="Arial" w:cs="Arial"/>
          <w:b/>
          <w:sz w:val="20"/>
        </w:rPr>
        <w:t>Fleming, Nicholas</w:t>
      </w:r>
      <w:r w:rsidRPr="00EE3FD3">
        <w:rPr>
          <w:rFonts w:ascii="Arial" w:hAnsi="Arial" w:cs="Arial"/>
          <w:b/>
          <w:sz w:val="20"/>
          <w:vertAlign w:val="superscript"/>
        </w:rPr>
        <w:t>2</w:t>
      </w:r>
      <w:r w:rsidRPr="00EE3FD3">
        <w:rPr>
          <w:rFonts w:ascii="Arial" w:hAnsi="Arial" w:cs="Arial"/>
          <w:sz w:val="24"/>
        </w:rPr>
        <w:br/>
      </w:r>
      <w:bookmarkStart w:id="0" w:name="_GoBack"/>
      <w:r w:rsidRPr="00EE3FD3">
        <w:rPr>
          <w:rFonts w:ascii="Arial" w:hAnsi="Arial" w:cs="Arial"/>
          <w:sz w:val="24"/>
        </w:rPr>
        <w:br/>
      </w:r>
      <w:bookmarkEnd w:id="0"/>
      <w:r w:rsidRPr="00EE3FD3">
        <w:rPr>
          <w:rFonts w:ascii="Arial" w:hAnsi="Arial" w:cs="Arial"/>
          <w:i/>
          <w:sz w:val="20"/>
          <w:vertAlign w:val="superscript"/>
        </w:rPr>
        <w:t>1</w:t>
      </w:r>
      <w:r w:rsidRPr="00EE3FD3">
        <w:rPr>
          <w:rFonts w:ascii="Arial" w:hAnsi="Arial" w:cs="Arial"/>
          <w:i/>
          <w:sz w:val="20"/>
        </w:rPr>
        <w:t>Department of Surgical Sciences, University of Otago, NZ</w:t>
      </w:r>
    </w:p>
    <w:p w:rsidR="004F6BFD" w:rsidRPr="00EE3FD3" w:rsidRDefault="00EE3FD3">
      <w:pPr>
        <w:rPr>
          <w:rFonts w:ascii="Arial" w:hAnsi="Arial" w:cs="Arial"/>
          <w:i/>
          <w:sz w:val="20"/>
        </w:rPr>
      </w:pPr>
      <w:r w:rsidRPr="00EE3FD3">
        <w:rPr>
          <w:rFonts w:ascii="Arial" w:hAnsi="Arial" w:cs="Arial"/>
          <w:i/>
          <w:sz w:val="20"/>
          <w:vertAlign w:val="superscript"/>
        </w:rPr>
        <w:t>2</w:t>
      </w:r>
      <w:r w:rsidRPr="00EE3FD3">
        <w:rPr>
          <w:rFonts w:ascii="Arial" w:hAnsi="Arial" w:cs="Arial"/>
          <w:i/>
          <w:sz w:val="20"/>
        </w:rPr>
        <w:t>Department of Pathology, University of Otago, NZ</w:t>
      </w:r>
      <w:r w:rsidRPr="00EE3FD3">
        <w:rPr>
          <w:rFonts w:ascii="Arial" w:hAnsi="Arial" w:cs="Arial"/>
          <w:i/>
          <w:sz w:val="20"/>
        </w:rPr>
        <w:br/>
      </w:r>
      <w:r w:rsidRPr="00EE3FD3">
        <w:rPr>
          <w:rFonts w:ascii="Arial" w:hAnsi="Arial" w:cs="Arial"/>
          <w:i/>
          <w:sz w:val="20"/>
          <w:vertAlign w:val="superscript"/>
        </w:rPr>
        <w:t>3</w:t>
      </w:r>
      <w:r w:rsidRPr="00EE3FD3">
        <w:rPr>
          <w:rStyle w:val="apple-converted-space"/>
          <w:rFonts w:ascii="Arial" w:hAnsi="Arial" w:cs="Arial"/>
          <w:i/>
          <w:sz w:val="20"/>
          <w:vertAlign w:val="superscript"/>
        </w:rPr>
        <w:t> </w:t>
      </w:r>
      <w:r w:rsidRPr="00EE3FD3">
        <w:rPr>
          <w:rFonts w:ascii="Arial" w:hAnsi="Arial" w:cs="Arial"/>
          <w:i/>
          <w:sz w:val="20"/>
        </w:rPr>
        <w:t>Department of Molecular Medicine and Pathology, The University of Auckland, NZ</w:t>
      </w:r>
    </w:p>
    <w:p w:rsidR="004F6BFD" w:rsidRPr="00EE3FD3" w:rsidRDefault="004F6BFD">
      <w:pPr>
        <w:rPr>
          <w:rFonts w:ascii="Arial" w:hAnsi="Arial" w:cs="Arial"/>
          <w:i/>
          <w:sz w:val="20"/>
        </w:rPr>
      </w:pPr>
    </w:p>
    <w:p w:rsidR="004F6BFD" w:rsidRPr="00EE3FD3" w:rsidRDefault="00EE3FD3">
      <w:pPr>
        <w:jc w:val="both"/>
        <w:rPr>
          <w:rFonts w:ascii="Arial" w:hAnsi="Arial" w:cs="Arial"/>
          <w:sz w:val="20"/>
        </w:rPr>
      </w:pPr>
      <w:r w:rsidRPr="00EE3FD3">
        <w:rPr>
          <w:rFonts w:ascii="Arial" w:hAnsi="Arial" w:cs="Arial"/>
          <w:sz w:val="20"/>
        </w:rPr>
        <w:t xml:space="preserve">The rs1800795 single nucleotide polymorphism (SNP) resides within the interleukin 6 (IL-6) gene promoter and is reported to associate with the risk of inflammation related disorders and cancer initiation. IL-6 is also implicated in cancer progression, and </w:t>
      </w:r>
      <w:r w:rsidRPr="00EE3FD3">
        <w:rPr>
          <w:rFonts w:ascii="Arial" w:hAnsi="Arial" w:cs="Arial"/>
          <w:sz w:val="20"/>
        </w:rPr>
        <w:t>we recently detected associations in public datasets between rs1800795 genotype and metastasis/invasion for a number of cancer types, including head and neck cancers, lung cancers, and colorectal cancers. We therefore proposed that it may have prognostic v</w:t>
      </w:r>
      <w:r w:rsidRPr="00EE3FD3">
        <w:rPr>
          <w:rFonts w:ascii="Arial" w:hAnsi="Arial" w:cs="Arial"/>
          <w:sz w:val="20"/>
        </w:rPr>
        <w:t xml:space="preserve">alue. </w:t>
      </w:r>
    </w:p>
    <w:p w:rsidR="004F6BFD" w:rsidRPr="00EE3FD3" w:rsidRDefault="00EE3FD3">
      <w:pPr>
        <w:jc w:val="both"/>
        <w:rPr>
          <w:rFonts w:ascii="Arial" w:hAnsi="Arial" w:cs="Arial"/>
          <w:sz w:val="20"/>
        </w:rPr>
      </w:pPr>
      <w:r w:rsidRPr="00EE3FD3">
        <w:rPr>
          <w:rFonts w:ascii="Arial" w:hAnsi="Arial" w:cs="Arial"/>
          <w:sz w:val="20"/>
        </w:rPr>
        <w:t>We have now characterised rs1800795 status together with primary cancer gene mutation burden for 192 colorectal cancer patients from southern New Zealand. Rs1800795 status associated strongly with disease-free survival (DFS) in those patients who de</w:t>
      </w:r>
      <w:r w:rsidRPr="00EE3FD3">
        <w:rPr>
          <w:rFonts w:ascii="Arial" w:hAnsi="Arial" w:cs="Arial"/>
          <w:sz w:val="20"/>
        </w:rPr>
        <w:t>veloped metastasis. Those who were GG developed metastasis in roughly half the time as those who were CC (~1.25 years vs. 3.2 years). Having any G allele (i.e. either GG or GC), or any C allele, was also associated with DFS. In addition, a strong relations</w:t>
      </w:r>
      <w:r w:rsidRPr="00EE3FD3">
        <w:rPr>
          <w:rFonts w:ascii="Arial" w:hAnsi="Arial" w:cs="Arial"/>
          <w:sz w:val="20"/>
        </w:rPr>
        <w:t xml:space="preserve">hip was detected between having any G allele and age of disease onset. The relationships with DFS were robust when age and sex were accounted for. </w:t>
      </w:r>
    </w:p>
    <w:p w:rsidR="004F6BFD" w:rsidRPr="00EE3FD3" w:rsidRDefault="00EE3FD3">
      <w:pPr>
        <w:jc w:val="both"/>
        <w:rPr>
          <w:rFonts w:ascii="Arial" w:hAnsi="Arial" w:cs="Arial"/>
          <w:sz w:val="20"/>
        </w:rPr>
      </w:pPr>
      <w:r w:rsidRPr="00EE3FD3">
        <w:rPr>
          <w:rFonts w:ascii="Arial" w:hAnsi="Arial" w:cs="Arial"/>
          <w:sz w:val="20"/>
        </w:rPr>
        <w:t xml:space="preserve">We propose that the SNP is functional, and directly alters regulation of the </w:t>
      </w:r>
      <w:r w:rsidRPr="00EE3FD3">
        <w:rPr>
          <w:rFonts w:ascii="Arial" w:hAnsi="Arial" w:cs="Arial"/>
          <w:i/>
          <w:sz w:val="20"/>
        </w:rPr>
        <w:t>IL6</w:t>
      </w:r>
      <w:r w:rsidRPr="00EE3FD3">
        <w:rPr>
          <w:rFonts w:ascii="Arial" w:hAnsi="Arial" w:cs="Arial"/>
          <w:sz w:val="20"/>
        </w:rPr>
        <w:t xml:space="preserve"> promoter by tumour protein </w:t>
      </w:r>
      <w:r w:rsidRPr="00EE3FD3">
        <w:rPr>
          <w:rFonts w:ascii="Arial" w:hAnsi="Arial" w:cs="Arial"/>
          <w:sz w:val="20"/>
        </w:rPr>
        <w:t xml:space="preserve">p63 (p63) and CCAAT/enhancer binding protein β (C/EBPβ). Using gene edited cancer cells, the SNP directly altered cooperative regulation of </w:t>
      </w:r>
      <w:r w:rsidRPr="00EE3FD3">
        <w:rPr>
          <w:rFonts w:ascii="Arial" w:hAnsi="Arial" w:cs="Arial"/>
          <w:i/>
          <w:sz w:val="20"/>
        </w:rPr>
        <w:t>IL6</w:t>
      </w:r>
      <w:r w:rsidRPr="00EE3FD3">
        <w:rPr>
          <w:rFonts w:ascii="Arial" w:hAnsi="Arial" w:cs="Arial"/>
          <w:sz w:val="20"/>
        </w:rPr>
        <w:t xml:space="preserve"> by p63 and C/EBPβ. In addition, IL-6 expression was elevated to higher levels still by expression of the short i</w:t>
      </w:r>
      <w:r w:rsidRPr="00EE3FD3">
        <w:rPr>
          <w:rFonts w:ascii="Arial" w:hAnsi="Arial" w:cs="Arial"/>
          <w:sz w:val="20"/>
        </w:rPr>
        <w:t xml:space="preserve">soforms of both p63 (ΔNp63) and C/EBPβ (LIP). In TCGA data, high expression of C/EBPβ was associated with shorter survival suggesting a dominant role for the LIP isoform. </w:t>
      </w:r>
    </w:p>
    <w:p w:rsidR="004F6BFD" w:rsidRPr="00EE3FD3" w:rsidRDefault="00EE3FD3">
      <w:pPr>
        <w:jc w:val="both"/>
        <w:rPr>
          <w:rFonts w:ascii="Arial" w:hAnsi="Arial" w:cs="Arial"/>
          <w:sz w:val="20"/>
        </w:rPr>
      </w:pPr>
      <w:r w:rsidRPr="00EE3FD3">
        <w:rPr>
          <w:rFonts w:ascii="Arial" w:hAnsi="Arial" w:cs="Arial"/>
          <w:sz w:val="20"/>
        </w:rPr>
        <w:t>These findings suggest that rs1800795 status has immediate value as a prognostic bio</w:t>
      </w:r>
      <w:r w:rsidRPr="00EE3FD3">
        <w:rPr>
          <w:rFonts w:ascii="Arial" w:hAnsi="Arial" w:cs="Arial"/>
          <w:sz w:val="20"/>
        </w:rPr>
        <w:t>marker for colorectal cancer, and that it may predict what processes promote a patient’s recurrence. Relationships between patient rs1800795 genotype, metastasis, and response to relevant targeted therapies are being investigated.</w:t>
      </w:r>
    </w:p>
    <w:p w:rsidR="004F6BFD" w:rsidRPr="00EE3FD3" w:rsidRDefault="004F6BFD">
      <w:pPr>
        <w:jc w:val="both"/>
        <w:rPr>
          <w:rFonts w:ascii="Arial" w:hAnsi="Arial" w:cs="Arial"/>
          <w:sz w:val="20"/>
        </w:rPr>
        <w:sectPr w:rsidR="004F6BFD" w:rsidRPr="00EE3FD3">
          <w:pgSz w:w="12240" w:h="15840"/>
          <w:pgMar w:top="1133" w:right="850" w:bottom="1133" w:left="1700" w:header="708" w:footer="708" w:gutter="0"/>
          <w:cols w:space="720"/>
        </w:sectPr>
      </w:pPr>
    </w:p>
    <w:p w:rsidR="004F6BFD" w:rsidRPr="00EE3FD3" w:rsidRDefault="004F6BFD">
      <w:pPr>
        <w:jc w:val="both"/>
        <w:rPr>
          <w:rFonts w:ascii="Arial" w:hAnsi="Arial" w:cs="Arial"/>
          <w:sz w:val="20"/>
        </w:rPr>
      </w:pPr>
    </w:p>
    <w:p w:rsidR="004F6BFD" w:rsidRPr="00EE3FD3" w:rsidRDefault="00EE3FD3" w:rsidP="00EE3FD3">
      <w:pPr>
        <w:pStyle w:val="AbstractBookSessionDetails"/>
        <w:rPr>
          <w:rFonts w:ascii="Arial" w:hAnsi="Arial" w:cs="Arial"/>
          <w:sz w:val="20"/>
        </w:rPr>
      </w:pPr>
      <w:r w:rsidRPr="00EE3FD3">
        <w:rPr>
          <w:rFonts w:ascii="Arial" w:hAnsi="Arial" w:cs="Arial"/>
          <w:sz w:val="20"/>
        </w:rPr>
        <w:t>Session on</w:t>
      </w:r>
      <w:r w:rsidRPr="00EE3FD3">
        <w:rPr>
          <w:rFonts w:ascii="Arial" w:hAnsi="Arial" w:cs="Arial"/>
          <w:sz w:val="20"/>
        </w:rPr>
        <w:t>e, August 24, 2018, 9:30 AM - 11:00 AM</w:t>
      </w:r>
    </w:p>
    <w:p w:rsidR="004F6BFD" w:rsidRPr="00EE3FD3" w:rsidRDefault="004F6BFD">
      <w:pPr>
        <w:pStyle w:val="AbstractBookBaseParagraph"/>
        <w:jc w:val="both"/>
        <w:rPr>
          <w:rFonts w:ascii="Arial" w:hAnsi="Arial" w:cs="Arial"/>
          <w:sz w:val="20"/>
        </w:rPr>
      </w:pPr>
    </w:p>
    <w:p w:rsidR="004F6BFD" w:rsidRPr="00EE3FD3" w:rsidRDefault="00EE3FD3">
      <w:pPr>
        <w:rPr>
          <w:rFonts w:ascii="Arial" w:hAnsi="Arial" w:cs="Arial"/>
          <w:b/>
          <w:sz w:val="24"/>
          <w:shd w:val="clear" w:color="auto" w:fill="FFFFFF"/>
        </w:rPr>
      </w:pPr>
      <w:r w:rsidRPr="00EE3FD3">
        <w:rPr>
          <w:rFonts w:ascii="Arial" w:hAnsi="Arial" w:cs="Arial"/>
          <w:b/>
          <w:sz w:val="24"/>
          <w:shd w:val="clear" w:color="auto" w:fill="FFFFFF"/>
        </w:rPr>
        <w:t xml:space="preserve">Proteomic analysis of breast cancer brain metastasis microenvironment in-vivo reveals a unique  milieu </w:t>
      </w:r>
      <w:proofErr w:type="spellStart"/>
      <w:r w:rsidRPr="00EE3FD3">
        <w:rPr>
          <w:rFonts w:ascii="Arial" w:hAnsi="Arial" w:cs="Arial"/>
          <w:b/>
          <w:sz w:val="24"/>
          <w:shd w:val="clear" w:color="auto" w:fill="FFFFFF"/>
        </w:rPr>
        <w:t>intérieur</w:t>
      </w:r>
      <w:proofErr w:type="spellEnd"/>
      <w:r w:rsidRPr="00EE3FD3">
        <w:rPr>
          <w:rFonts w:ascii="Arial" w:hAnsi="Arial" w:cs="Arial"/>
          <w:b/>
          <w:sz w:val="24"/>
          <w:shd w:val="clear" w:color="auto" w:fill="FFFFFF"/>
        </w:rPr>
        <w:t xml:space="preserve"> of metabolic reprogramming</w:t>
      </w:r>
    </w:p>
    <w:p w:rsidR="004F6BFD" w:rsidRPr="00EE3FD3" w:rsidRDefault="00EE3FD3">
      <w:pPr>
        <w:rPr>
          <w:rFonts w:ascii="Arial" w:hAnsi="Arial" w:cs="Arial"/>
          <w:b/>
          <w:shd w:val="clear" w:color="auto" w:fill="FFFFFF"/>
        </w:rPr>
      </w:pPr>
      <w:r w:rsidRPr="00EE3FD3">
        <w:rPr>
          <w:rFonts w:ascii="Arial" w:hAnsi="Arial" w:cs="Arial"/>
          <w:b/>
          <w:shd w:val="clear" w:color="auto" w:fill="FFFFFF"/>
        </w:rPr>
        <w:t xml:space="preserve"> </w:t>
      </w:r>
    </w:p>
    <w:p w:rsidR="004F6BFD" w:rsidRPr="00EE3FD3" w:rsidRDefault="00EE3FD3">
      <w:pPr>
        <w:tabs>
          <w:tab w:val="left" w:pos="720"/>
        </w:tabs>
        <w:rPr>
          <w:rFonts w:ascii="Arial" w:hAnsi="Arial" w:cs="Arial"/>
          <w:sz w:val="20"/>
          <w:vertAlign w:val="superscript"/>
          <w:lang w:val="en-AU"/>
        </w:rPr>
      </w:pPr>
      <w:proofErr w:type="spellStart"/>
      <w:r w:rsidRPr="00EE3FD3">
        <w:rPr>
          <w:rFonts w:ascii="Arial" w:hAnsi="Arial" w:cs="Arial"/>
          <w:b/>
          <w:sz w:val="20"/>
          <w:u w:val="single"/>
        </w:rPr>
        <w:t>Kalita</w:t>
      </w:r>
      <w:proofErr w:type="spellEnd"/>
      <w:r w:rsidRPr="00EE3FD3">
        <w:rPr>
          <w:rFonts w:ascii="Arial" w:hAnsi="Arial" w:cs="Arial"/>
          <w:b/>
          <w:sz w:val="20"/>
          <w:u w:val="single"/>
        </w:rPr>
        <w:t>-de Croft, P.</w:t>
      </w:r>
      <w:r w:rsidRPr="00EE3FD3">
        <w:rPr>
          <w:rFonts w:ascii="Arial" w:hAnsi="Arial" w:cs="Arial"/>
          <w:b/>
          <w:sz w:val="20"/>
          <w:vertAlign w:val="superscript"/>
        </w:rPr>
        <w:t>1,2</w:t>
      </w:r>
      <w:r w:rsidRPr="00EE3FD3">
        <w:rPr>
          <w:rFonts w:ascii="Arial" w:hAnsi="Arial" w:cs="Arial"/>
          <w:sz w:val="20"/>
        </w:rPr>
        <w:t xml:space="preserve">, </w:t>
      </w:r>
      <w:proofErr w:type="spellStart"/>
      <w:r w:rsidRPr="00EE3FD3">
        <w:rPr>
          <w:rFonts w:ascii="Arial" w:hAnsi="Arial" w:cs="Arial"/>
          <w:sz w:val="20"/>
        </w:rPr>
        <w:t>Straube</w:t>
      </w:r>
      <w:proofErr w:type="spellEnd"/>
      <w:r w:rsidRPr="00EE3FD3">
        <w:rPr>
          <w:rFonts w:ascii="Arial" w:hAnsi="Arial" w:cs="Arial"/>
          <w:sz w:val="20"/>
        </w:rPr>
        <w:t>, J.</w:t>
      </w:r>
      <w:r w:rsidRPr="00EE3FD3">
        <w:rPr>
          <w:rFonts w:ascii="Arial" w:hAnsi="Arial" w:cs="Arial"/>
          <w:sz w:val="20"/>
          <w:vertAlign w:val="superscript"/>
        </w:rPr>
        <w:t>2</w:t>
      </w:r>
      <w:r w:rsidRPr="00EE3FD3">
        <w:rPr>
          <w:rFonts w:ascii="Arial" w:hAnsi="Arial" w:cs="Arial"/>
          <w:sz w:val="20"/>
        </w:rPr>
        <w:t>,</w:t>
      </w:r>
      <w:r w:rsidRPr="00EE3FD3">
        <w:rPr>
          <w:rFonts w:ascii="Arial" w:hAnsi="Arial" w:cs="Arial"/>
          <w:sz w:val="20"/>
          <w:lang w:val="en-AU"/>
        </w:rPr>
        <w:t xml:space="preserve"> </w:t>
      </w:r>
      <w:r w:rsidRPr="00EE3FD3">
        <w:rPr>
          <w:rFonts w:ascii="Arial" w:hAnsi="Arial" w:cs="Arial"/>
          <w:sz w:val="20"/>
          <w:lang w:val="en-AU"/>
        </w:rPr>
        <w:t>Al-</w:t>
      </w:r>
      <w:proofErr w:type="spellStart"/>
      <w:r w:rsidRPr="00EE3FD3">
        <w:rPr>
          <w:rFonts w:ascii="Arial" w:hAnsi="Arial" w:cs="Arial"/>
          <w:sz w:val="20"/>
          <w:lang w:val="en-AU"/>
        </w:rPr>
        <w:t>Ejeh</w:t>
      </w:r>
      <w:proofErr w:type="spellEnd"/>
      <w:r w:rsidRPr="00EE3FD3">
        <w:rPr>
          <w:rFonts w:ascii="Arial" w:hAnsi="Arial" w:cs="Arial"/>
          <w:sz w:val="20"/>
          <w:lang w:val="en-AU"/>
        </w:rPr>
        <w:t>, F.</w:t>
      </w:r>
      <w:r w:rsidRPr="00EE3FD3">
        <w:rPr>
          <w:rFonts w:ascii="Arial" w:hAnsi="Arial" w:cs="Arial"/>
          <w:sz w:val="20"/>
          <w:vertAlign w:val="superscript"/>
          <w:lang w:val="en-AU"/>
        </w:rPr>
        <w:t>1,2</w:t>
      </w:r>
      <w:r w:rsidRPr="00EE3FD3">
        <w:rPr>
          <w:rFonts w:ascii="Arial" w:hAnsi="Arial" w:cs="Arial"/>
          <w:sz w:val="20"/>
          <w:lang w:val="en-AU"/>
        </w:rPr>
        <w:t xml:space="preserve">,  </w:t>
      </w:r>
      <w:proofErr w:type="spellStart"/>
      <w:r w:rsidRPr="00EE3FD3">
        <w:rPr>
          <w:rFonts w:ascii="Arial" w:hAnsi="Arial" w:cs="Arial"/>
          <w:sz w:val="20"/>
          <w:lang w:val="en-AU"/>
        </w:rPr>
        <w:t>Saunus</w:t>
      </w:r>
      <w:proofErr w:type="spellEnd"/>
      <w:r w:rsidRPr="00EE3FD3">
        <w:rPr>
          <w:rFonts w:ascii="Arial" w:hAnsi="Arial" w:cs="Arial"/>
          <w:sz w:val="20"/>
          <w:lang w:val="en-AU"/>
        </w:rPr>
        <w:t>, J.M.</w:t>
      </w:r>
      <w:r w:rsidRPr="00EE3FD3">
        <w:rPr>
          <w:rFonts w:ascii="Arial" w:hAnsi="Arial" w:cs="Arial"/>
          <w:sz w:val="20"/>
          <w:vertAlign w:val="superscript"/>
          <w:lang w:val="en-AU"/>
        </w:rPr>
        <w:t>1,2</w:t>
      </w:r>
      <w:r w:rsidRPr="00EE3FD3">
        <w:rPr>
          <w:rFonts w:ascii="Arial" w:hAnsi="Arial" w:cs="Arial"/>
          <w:sz w:val="20"/>
          <w:lang w:val="en-AU"/>
        </w:rPr>
        <w:t>,  L</w:t>
      </w:r>
      <w:r w:rsidRPr="00EE3FD3">
        <w:rPr>
          <w:rFonts w:ascii="Arial" w:hAnsi="Arial" w:cs="Arial"/>
          <w:sz w:val="20"/>
          <w:lang w:val="en-AU"/>
        </w:rPr>
        <w:t>akhani, S.R.</w:t>
      </w:r>
      <w:r w:rsidRPr="00EE3FD3">
        <w:rPr>
          <w:rFonts w:ascii="Arial" w:hAnsi="Arial" w:cs="Arial"/>
          <w:sz w:val="20"/>
          <w:vertAlign w:val="superscript"/>
          <w:lang w:val="en-AU"/>
        </w:rPr>
        <w:t>1,3</w:t>
      </w:r>
    </w:p>
    <w:p w:rsidR="004F6BFD" w:rsidRPr="00EE3FD3" w:rsidRDefault="004F6BFD">
      <w:pPr>
        <w:tabs>
          <w:tab w:val="left" w:pos="720"/>
        </w:tabs>
        <w:rPr>
          <w:rFonts w:ascii="Arial" w:hAnsi="Arial" w:cs="Arial"/>
          <w:sz w:val="20"/>
          <w:lang w:val="en-AU"/>
        </w:rPr>
      </w:pPr>
    </w:p>
    <w:p w:rsidR="004F6BFD" w:rsidRPr="00EE3FD3" w:rsidRDefault="00EE3FD3">
      <w:pPr>
        <w:tabs>
          <w:tab w:val="left" w:pos="720"/>
        </w:tabs>
        <w:rPr>
          <w:rFonts w:ascii="Arial" w:hAnsi="Arial" w:cs="Arial"/>
          <w:i/>
          <w:sz w:val="20"/>
          <w:lang w:val="en-AU"/>
        </w:rPr>
      </w:pPr>
      <w:r w:rsidRPr="00EE3FD3">
        <w:rPr>
          <w:rFonts w:ascii="Arial" w:hAnsi="Arial" w:cs="Arial"/>
          <w:i/>
          <w:sz w:val="20"/>
          <w:vertAlign w:val="superscript"/>
          <w:lang w:val="en-AU"/>
        </w:rPr>
        <w:t>1</w:t>
      </w:r>
      <w:r w:rsidRPr="00EE3FD3">
        <w:rPr>
          <w:rFonts w:ascii="Arial" w:hAnsi="Arial" w:cs="Arial"/>
          <w:i/>
          <w:sz w:val="20"/>
          <w:lang w:val="en-AU"/>
        </w:rPr>
        <w:t>University of Queensland, UQ Centre for Clinical Research, Brisbane, Queensland, Australia.</w:t>
      </w:r>
    </w:p>
    <w:p w:rsidR="004F6BFD" w:rsidRPr="00EE3FD3" w:rsidRDefault="00EE3FD3">
      <w:pPr>
        <w:rPr>
          <w:rFonts w:ascii="Arial" w:hAnsi="Arial" w:cs="Arial"/>
          <w:i/>
          <w:sz w:val="20"/>
          <w:lang w:val="en-AU"/>
        </w:rPr>
      </w:pPr>
      <w:r w:rsidRPr="00EE3FD3">
        <w:rPr>
          <w:rFonts w:ascii="Arial" w:hAnsi="Arial" w:cs="Arial"/>
          <w:i/>
          <w:sz w:val="20"/>
          <w:vertAlign w:val="superscript"/>
          <w:lang w:val="en-AU"/>
        </w:rPr>
        <w:t>2</w:t>
      </w:r>
      <w:r w:rsidRPr="00EE3FD3">
        <w:rPr>
          <w:rFonts w:ascii="Arial" w:hAnsi="Arial" w:cs="Arial"/>
          <w:i/>
          <w:sz w:val="20"/>
          <w:lang w:val="en-AU"/>
        </w:rPr>
        <w:t>Queensland Institute for Medical Research (QIMR) Berghofer, Brisbane, QLD, Australia.</w:t>
      </w:r>
    </w:p>
    <w:p w:rsidR="004F6BFD" w:rsidRPr="00EE3FD3" w:rsidRDefault="00EE3FD3">
      <w:pPr>
        <w:rPr>
          <w:rFonts w:ascii="Arial" w:hAnsi="Arial" w:cs="Arial"/>
          <w:i/>
          <w:sz w:val="20"/>
          <w:lang w:val="en-AU"/>
        </w:rPr>
      </w:pPr>
      <w:r w:rsidRPr="00EE3FD3">
        <w:rPr>
          <w:rFonts w:ascii="Arial" w:hAnsi="Arial" w:cs="Arial"/>
          <w:i/>
          <w:sz w:val="20"/>
          <w:vertAlign w:val="superscript"/>
          <w:lang w:val="en-AU"/>
        </w:rPr>
        <w:t>3</w:t>
      </w:r>
      <w:r w:rsidRPr="00EE3FD3">
        <w:rPr>
          <w:rFonts w:ascii="Arial" w:hAnsi="Arial" w:cs="Arial"/>
          <w:i/>
          <w:sz w:val="20"/>
          <w:lang w:val="en-AU"/>
        </w:rPr>
        <w:t xml:space="preserve">Pathology Queensland, Royal Brisbane Women's Hospital, </w:t>
      </w:r>
      <w:r w:rsidRPr="00EE3FD3">
        <w:rPr>
          <w:rFonts w:ascii="Arial" w:hAnsi="Arial" w:cs="Arial"/>
          <w:i/>
          <w:sz w:val="20"/>
          <w:lang w:val="en-AU"/>
        </w:rPr>
        <w:t>Brisbane, Queensland, Australia.</w:t>
      </w:r>
    </w:p>
    <w:p w:rsidR="004F6BFD" w:rsidRPr="00EE3FD3" w:rsidRDefault="004F6BFD">
      <w:pPr>
        <w:rPr>
          <w:rFonts w:ascii="Arial" w:hAnsi="Arial" w:cs="Arial"/>
        </w:rPr>
      </w:pPr>
    </w:p>
    <w:p w:rsidR="004F6BFD" w:rsidRPr="00EE3FD3" w:rsidRDefault="00EE3FD3">
      <w:pPr>
        <w:spacing w:before="120"/>
        <w:rPr>
          <w:rFonts w:ascii="Arial" w:hAnsi="Arial" w:cs="Arial"/>
          <w:sz w:val="20"/>
        </w:rPr>
      </w:pPr>
      <w:r w:rsidRPr="00EE3FD3">
        <w:rPr>
          <w:rFonts w:ascii="Arial" w:hAnsi="Arial" w:cs="Arial"/>
          <w:sz w:val="20"/>
          <w:lang w:val="en-AU"/>
        </w:rPr>
        <w:t>Brain metastasis (BM) is an unfortunate clinical complication that occurs in about 15-30% of the patients with metastatic-breast cancer</w:t>
      </w:r>
      <w:r w:rsidRPr="00EE3FD3">
        <w:rPr>
          <w:rFonts w:ascii="Arial" w:hAnsi="Arial" w:cs="Arial"/>
          <w:sz w:val="20"/>
          <w:lang w:val="en-AU"/>
        </w:rPr>
        <w:fldChar w:fldCharType="begin"/>
      </w:r>
      <w:r w:rsidRPr="00EE3FD3">
        <w:rPr>
          <w:rFonts w:ascii="Arial" w:hAnsi="Arial" w:cs="Arial"/>
          <w:sz w:val="20"/>
          <w:lang w:val="en-AU"/>
        </w:rPr>
        <w:instrText xml:space="preserve"> ADDIN EN.CITE &lt;EndNote&gt;&lt;Cite&gt;&lt;Author&gt;Tabouret&lt;/Author&gt;&lt;Year&gt;2012&lt;/Year&gt;&lt;RecNum&gt;92&lt;/Rec</w:instrText>
      </w:r>
      <w:r w:rsidRPr="00EE3FD3">
        <w:rPr>
          <w:rFonts w:ascii="Arial" w:hAnsi="Arial" w:cs="Arial"/>
          <w:sz w:val="20"/>
          <w:lang w:val="en-AU"/>
        </w:rPr>
        <w:instrText>Num&gt;&lt;DisplayText&gt;[1]&lt;/DisplayText&gt;&lt;record&gt;&lt;rec-number&gt;92&lt;/rec-number&gt;&lt;foreign-keys&gt;&lt;key app="EN" db-id="2d0p9w228z2ftget09nv5zdoxevd0fxd0vxr" timestamp="1519699568"&gt;92&lt;/key&gt;&lt;/foreign-keys&gt;&lt;ref-type name="Journal Article"&gt;17&lt;/ref-type&gt;&lt;contributors&gt;&lt;authors</w:instrText>
      </w:r>
      <w:r w:rsidRPr="00EE3FD3">
        <w:rPr>
          <w:rFonts w:ascii="Arial" w:hAnsi="Arial" w:cs="Arial"/>
          <w:sz w:val="20"/>
          <w:lang w:val="en-AU"/>
        </w:rPr>
        <w:instrText>&gt;&lt;author&gt;Tabouret, E.&lt;/author&gt;&lt;author&gt;Chinot, O.&lt;/author&gt;&lt;author&gt;Metellus, P.&lt;/author&gt;&lt;author&gt;Tallet, A.&lt;/author&gt;&lt;author&gt;Viens, P.&lt;/author&gt;&lt;author&gt;Goncalves, A.&lt;/author&gt;&lt;/authors&gt;&lt;/contributors&gt;&lt;auth-address&gt;AP-HM, Timone Hospital, Departement of Neuro-onc</w:instrText>
      </w:r>
      <w:r w:rsidRPr="00EE3FD3">
        <w:rPr>
          <w:rFonts w:ascii="Arial" w:hAnsi="Arial" w:cs="Arial"/>
          <w:sz w:val="20"/>
          <w:lang w:val="en-AU"/>
        </w:rPr>
        <w:instrText>ology and Neuro-surgery, Marseille, France.&lt;/auth-address&gt;&lt;titles&gt;&lt;title&gt;Recent trends in epidemiology of brain metastases: an overview&lt;/title&gt;&lt;secondary-title&gt;Anticancer Res&lt;/secondary-title&gt;&lt;/titles&gt;&lt;periodical&gt;&lt;full-title&gt;Anticancer Res&lt;/full-title&gt;&lt;/pe</w:instrText>
      </w:r>
      <w:r w:rsidRPr="00EE3FD3">
        <w:rPr>
          <w:rFonts w:ascii="Arial" w:hAnsi="Arial" w:cs="Arial"/>
          <w:sz w:val="20"/>
          <w:lang w:val="en-AU"/>
        </w:rPr>
        <w:instrText>riodical&gt;&lt;pages&gt;4655-62&lt;/pages&gt;&lt;volume&gt;32&lt;/volume&gt;&lt;number&gt;11&lt;/number&gt;&lt;edition&gt;2012/11/17&lt;/edition&gt;&lt;keywords&gt;&lt;keyword&gt;Brain Neoplasms/*epidemiology/*secondary&lt;/keyword&gt;&lt;keyword&gt;Humans&lt;/keyword&gt;&lt;keyword&gt;Incidence&lt;/keyword&gt;&lt;keyword&gt;Prevalence&lt;/keyword&gt;&lt;/keywo</w:instrText>
      </w:r>
      <w:r w:rsidRPr="00EE3FD3">
        <w:rPr>
          <w:rFonts w:ascii="Arial" w:hAnsi="Arial" w:cs="Arial"/>
          <w:sz w:val="20"/>
          <w:lang w:val="en-AU"/>
        </w:rPr>
        <w:instrText>rds&gt;&lt;dates&gt;&lt;year&gt;2012&lt;/year&gt;&lt;pub-dates&gt;&lt;date&gt;Nov&lt;/date&gt;&lt;/pub-dates&gt;&lt;/dates&gt;&lt;isbn&gt;1791-7530 (Electronic)&amp;#xD;0250-7005 (Linking)&lt;/isbn&gt;&lt;accession-num&gt;23155227&lt;/accession-num&gt;&lt;urls&gt;&lt;related-urls&gt;&lt;url&gt;https://www.ncbi.nlm.nih.gov/pubmed/23155227&lt;/url&gt;&lt;/relate</w:instrText>
      </w:r>
      <w:r w:rsidRPr="00EE3FD3">
        <w:rPr>
          <w:rFonts w:ascii="Arial" w:hAnsi="Arial" w:cs="Arial"/>
          <w:sz w:val="20"/>
          <w:lang w:val="en-AU"/>
        </w:rPr>
        <w:instrText>d-urls&gt;&lt;/urls&gt;&lt;/record&gt;&lt;/Cite&gt;&lt;/EndNote&gt;</w:instrText>
      </w:r>
      <w:r w:rsidRPr="00EE3FD3">
        <w:rPr>
          <w:rFonts w:ascii="Arial" w:hAnsi="Arial" w:cs="Arial"/>
          <w:sz w:val="20"/>
          <w:lang w:val="en-AU"/>
        </w:rPr>
        <w:fldChar w:fldCharType="separate"/>
      </w:r>
      <w:r w:rsidRPr="00EE3FD3">
        <w:rPr>
          <w:rFonts w:ascii="Arial" w:hAnsi="Arial" w:cs="Arial"/>
          <w:noProof/>
          <w:sz w:val="20"/>
          <w:lang w:val="en-AU"/>
        </w:rPr>
        <w:t>[1]</w:t>
      </w:r>
      <w:r w:rsidRPr="00EE3FD3">
        <w:rPr>
          <w:rFonts w:ascii="Arial" w:hAnsi="Arial" w:cs="Arial"/>
          <w:sz w:val="20"/>
        </w:rPr>
        <w:fldChar w:fldCharType="end"/>
      </w:r>
      <w:r w:rsidRPr="00EE3FD3">
        <w:rPr>
          <w:rFonts w:ascii="Arial" w:hAnsi="Arial" w:cs="Arial"/>
          <w:sz w:val="20"/>
          <w:lang w:val="en-AU"/>
        </w:rPr>
        <w:t xml:space="preserve">. Extremely poor prognosis and neurological impairments of sensory and cognitive functions are salient features of BM, with survival rates varying between 4-12 months post-diagnosis </w:t>
      </w:r>
      <w:r w:rsidRPr="00EE3FD3">
        <w:rPr>
          <w:rFonts w:ascii="Arial" w:hAnsi="Arial" w:cs="Arial"/>
          <w:sz w:val="20"/>
          <w:lang w:val="en-AU"/>
        </w:rPr>
        <w:fldChar w:fldCharType="begin"/>
      </w:r>
      <w:r w:rsidRPr="00EE3FD3">
        <w:rPr>
          <w:rFonts w:ascii="Arial" w:hAnsi="Arial" w:cs="Arial"/>
          <w:sz w:val="20"/>
          <w:lang w:val="en-AU"/>
        </w:rPr>
        <w:instrText xml:space="preserve"> ADDIN EN.CITE </w:instrText>
      </w:r>
      <w:r w:rsidRPr="00EE3FD3">
        <w:rPr>
          <w:rFonts w:ascii="Arial" w:hAnsi="Arial" w:cs="Arial"/>
          <w:sz w:val="20"/>
          <w:lang w:val="en-AU"/>
        </w:rPr>
        <w:fldChar w:fldCharType="begin"/>
      </w:r>
      <w:r w:rsidRPr="00EE3FD3">
        <w:rPr>
          <w:rFonts w:ascii="Arial" w:hAnsi="Arial" w:cs="Arial"/>
          <w:sz w:val="20"/>
          <w:lang w:val="en-AU"/>
        </w:rPr>
        <w:instrText xml:space="preserve"> ADDIN EN.CIT</w:instrText>
      </w:r>
      <w:r w:rsidRPr="00EE3FD3">
        <w:rPr>
          <w:rFonts w:ascii="Arial" w:hAnsi="Arial" w:cs="Arial"/>
          <w:sz w:val="20"/>
          <w:lang w:val="en-AU"/>
        </w:rPr>
        <w:instrText xml:space="preserve">E.DATA </w:instrText>
      </w:r>
      <w:r w:rsidRPr="00EE3FD3">
        <w:rPr>
          <w:rFonts w:ascii="Arial" w:hAnsi="Arial" w:cs="Arial"/>
          <w:sz w:val="20"/>
          <w:lang w:val="en-AU"/>
        </w:rPr>
        <w:fldChar w:fldCharType="end"/>
      </w:r>
      <w:r w:rsidRPr="00EE3FD3">
        <w:rPr>
          <w:rFonts w:ascii="Arial" w:hAnsi="Arial" w:cs="Arial"/>
          <w:sz w:val="20"/>
          <w:lang w:val="en-AU"/>
        </w:rPr>
        <w:fldChar w:fldCharType="separate"/>
      </w:r>
      <w:r w:rsidRPr="00EE3FD3">
        <w:rPr>
          <w:rFonts w:ascii="Arial" w:hAnsi="Arial" w:cs="Arial"/>
          <w:noProof/>
          <w:sz w:val="20"/>
          <w:lang w:val="en-AU"/>
        </w:rPr>
        <w:t>[2, 3]</w:t>
      </w:r>
      <w:r w:rsidRPr="00EE3FD3">
        <w:rPr>
          <w:rFonts w:ascii="Arial" w:hAnsi="Arial" w:cs="Arial"/>
          <w:sz w:val="20"/>
        </w:rPr>
        <w:fldChar w:fldCharType="end"/>
      </w:r>
      <w:r w:rsidRPr="00EE3FD3">
        <w:rPr>
          <w:rFonts w:ascii="Arial" w:hAnsi="Arial" w:cs="Arial"/>
          <w:sz w:val="20"/>
          <w:lang w:val="en-AU"/>
        </w:rPr>
        <w:t xml:space="preserve">.  Therefore, there is an urgent need of unravelling novel mechanisms of BM including treatment-resistance. </w:t>
      </w:r>
      <w:r w:rsidRPr="00EE3FD3">
        <w:rPr>
          <w:rFonts w:ascii="Arial" w:hAnsi="Arial" w:cs="Arial"/>
          <w:sz w:val="20"/>
        </w:rPr>
        <w:t xml:space="preserve">The tumour-microenvironment (TME) provides both the framework and mechanism for metastatic outgrowth. </w:t>
      </w:r>
      <w:r w:rsidRPr="00EE3FD3">
        <w:rPr>
          <w:rFonts w:ascii="Arial" w:hAnsi="Arial" w:cs="Arial"/>
          <w:sz w:val="20"/>
          <w:lang w:val="en-AU"/>
        </w:rPr>
        <w:t>Despite immense negative sel</w:t>
      </w:r>
      <w:r w:rsidRPr="00EE3FD3">
        <w:rPr>
          <w:rFonts w:ascii="Arial" w:hAnsi="Arial" w:cs="Arial"/>
          <w:sz w:val="20"/>
          <w:lang w:val="en-AU"/>
        </w:rPr>
        <w:t>ection-pressure tumour-cells colonise using adaptive mechanisms, including: oxidative-stress resistance, repurposing neurotransmitters and mimicking neural traits</w:t>
      </w:r>
      <w:r w:rsidRPr="00EE3FD3">
        <w:rPr>
          <w:rFonts w:ascii="Arial" w:hAnsi="Arial" w:cs="Arial"/>
          <w:sz w:val="20"/>
          <w:lang w:val="en-AU"/>
        </w:rPr>
        <w:fldChar w:fldCharType="begin"/>
      </w:r>
      <w:r w:rsidRPr="00EE3FD3">
        <w:rPr>
          <w:rFonts w:ascii="Arial" w:hAnsi="Arial" w:cs="Arial"/>
          <w:sz w:val="20"/>
          <w:lang w:val="en-AU"/>
        </w:rPr>
        <w:instrText xml:space="preserve"> ADDIN EN.CITE </w:instrText>
      </w:r>
      <w:r w:rsidRPr="00EE3FD3">
        <w:rPr>
          <w:rFonts w:ascii="Arial" w:hAnsi="Arial" w:cs="Arial"/>
          <w:sz w:val="20"/>
          <w:lang w:val="en-AU"/>
        </w:rPr>
        <w:fldChar w:fldCharType="begin"/>
      </w:r>
      <w:r w:rsidRPr="00EE3FD3">
        <w:rPr>
          <w:rFonts w:ascii="Arial" w:hAnsi="Arial" w:cs="Arial"/>
          <w:sz w:val="20"/>
          <w:lang w:val="en-AU"/>
        </w:rPr>
        <w:instrText xml:space="preserve"> ADDIN EN.CITE.DATA </w:instrText>
      </w:r>
      <w:r w:rsidRPr="00EE3FD3">
        <w:rPr>
          <w:rFonts w:ascii="Arial" w:hAnsi="Arial" w:cs="Arial"/>
          <w:sz w:val="20"/>
          <w:lang w:val="en-AU"/>
        </w:rPr>
        <w:fldChar w:fldCharType="end"/>
      </w:r>
      <w:r w:rsidRPr="00EE3FD3">
        <w:rPr>
          <w:rFonts w:ascii="Arial" w:hAnsi="Arial" w:cs="Arial"/>
          <w:sz w:val="20"/>
          <w:lang w:val="en-AU"/>
        </w:rPr>
        <w:fldChar w:fldCharType="separate"/>
      </w:r>
      <w:r w:rsidRPr="00EE3FD3">
        <w:rPr>
          <w:rFonts w:ascii="Arial" w:hAnsi="Arial" w:cs="Arial"/>
          <w:noProof/>
          <w:sz w:val="20"/>
          <w:lang w:val="en-AU"/>
        </w:rPr>
        <w:t>[4]</w:t>
      </w:r>
      <w:r w:rsidRPr="00EE3FD3">
        <w:rPr>
          <w:rFonts w:ascii="Arial" w:hAnsi="Arial" w:cs="Arial"/>
          <w:sz w:val="20"/>
          <w:lang w:val="en-AU"/>
        </w:rPr>
        <w:fldChar w:fldCharType="end"/>
      </w:r>
      <w:r w:rsidRPr="00EE3FD3">
        <w:rPr>
          <w:rFonts w:ascii="Arial" w:hAnsi="Arial" w:cs="Arial"/>
          <w:sz w:val="20"/>
          <w:lang w:val="en-AU"/>
        </w:rPr>
        <w:t xml:space="preserve">. </w:t>
      </w:r>
      <w:r w:rsidRPr="00EE3FD3">
        <w:rPr>
          <w:rFonts w:ascii="Arial" w:hAnsi="Arial" w:cs="Arial"/>
          <w:sz w:val="20"/>
        </w:rPr>
        <w:t>These transformations could be clinically targeta</w:t>
      </w:r>
      <w:r w:rsidRPr="00EE3FD3">
        <w:rPr>
          <w:rFonts w:ascii="Arial" w:hAnsi="Arial" w:cs="Arial"/>
          <w:sz w:val="20"/>
        </w:rPr>
        <w:t xml:space="preserve">ble and hence we set out to identify novel adaptations in breast cancer-brain metastasis by performing proteomic analysis of the mouse brain compartment of breast cancer brain xenografts. </w:t>
      </w:r>
    </w:p>
    <w:p w:rsidR="004F6BFD" w:rsidRPr="00EE3FD3" w:rsidRDefault="00EE3FD3">
      <w:pPr>
        <w:spacing w:before="120"/>
        <w:rPr>
          <w:rFonts w:ascii="Arial" w:hAnsi="Arial" w:cs="Arial"/>
          <w:sz w:val="20"/>
          <w:lang w:val="en-AU"/>
        </w:rPr>
      </w:pPr>
      <w:r w:rsidRPr="00EE3FD3">
        <w:rPr>
          <w:rFonts w:ascii="Arial" w:hAnsi="Arial" w:cs="Arial"/>
          <w:sz w:val="20"/>
          <w:lang w:val="en-AU"/>
        </w:rPr>
        <w:t xml:space="preserve">MDA-MB-231 breast cancer cells were </w:t>
      </w:r>
      <w:proofErr w:type="spellStart"/>
      <w:r w:rsidRPr="00EE3FD3">
        <w:rPr>
          <w:rFonts w:ascii="Arial" w:hAnsi="Arial" w:cs="Arial"/>
          <w:sz w:val="20"/>
          <w:lang w:val="en-AU"/>
        </w:rPr>
        <w:t>stereotactically</w:t>
      </w:r>
      <w:proofErr w:type="spellEnd"/>
      <w:r w:rsidRPr="00EE3FD3">
        <w:rPr>
          <w:rFonts w:ascii="Arial" w:hAnsi="Arial" w:cs="Arial"/>
          <w:sz w:val="20"/>
          <w:lang w:val="en-AU"/>
        </w:rPr>
        <w:t xml:space="preserve"> injected into </w:t>
      </w:r>
      <w:r w:rsidRPr="00EE3FD3">
        <w:rPr>
          <w:rFonts w:ascii="Arial" w:hAnsi="Arial" w:cs="Arial"/>
          <w:sz w:val="20"/>
          <w:lang w:val="en-AU"/>
        </w:rPr>
        <w:t>NOD/SCID mouse hosts (n=5). Mock-injected (PBS) and matching uninvolved brain (n=4) were used as controls. After three weeks, brain tissues (tumour-associated, mock and normal) were isolated using affinity-based magnetic bead separation (</w:t>
      </w:r>
      <w:proofErr w:type="spellStart"/>
      <w:r w:rsidRPr="00EE3FD3">
        <w:rPr>
          <w:rFonts w:ascii="Arial" w:hAnsi="Arial" w:cs="Arial"/>
          <w:sz w:val="20"/>
          <w:lang w:val="en-AU"/>
        </w:rPr>
        <w:t>Miltenyi</w:t>
      </w:r>
      <w:proofErr w:type="spellEnd"/>
      <w:r w:rsidRPr="00EE3FD3">
        <w:rPr>
          <w:rFonts w:ascii="Arial" w:hAnsi="Arial" w:cs="Arial"/>
          <w:sz w:val="20"/>
          <w:lang w:val="en-AU"/>
        </w:rPr>
        <w:t xml:space="preserve"> </w:t>
      </w:r>
      <w:proofErr w:type="spellStart"/>
      <w:r w:rsidRPr="00EE3FD3">
        <w:rPr>
          <w:rFonts w:ascii="Arial" w:hAnsi="Arial" w:cs="Arial"/>
          <w:sz w:val="20"/>
          <w:lang w:val="en-AU"/>
        </w:rPr>
        <w:t>Biotec</w:t>
      </w:r>
      <w:proofErr w:type="spellEnd"/>
      <w:r w:rsidRPr="00EE3FD3">
        <w:rPr>
          <w:rFonts w:ascii="Arial" w:hAnsi="Arial" w:cs="Arial"/>
          <w:sz w:val="20"/>
          <w:lang w:val="en-AU"/>
        </w:rPr>
        <w:t>) a</w:t>
      </w:r>
      <w:r w:rsidRPr="00EE3FD3">
        <w:rPr>
          <w:rFonts w:ascii="Arial" w:hAnsi="Arial" w:cs="Arial"/>
          <w:sz w:val="20"/>
          <w:lang w:val="en-AU"/>
        </w:rPr>
        <w:t xml:space="preserve">nd proteomics was performed by Mass Spectrometry (MS)-Swath at Australian Proteome Analysis Facility (APAF). </w:t>
      </w:r>
    </w:p>
    <w:p w:rsidR="004F6BFD" w:rsidRPr="00EE3FD3" w:rsidRDefault="00EE3FD3">
      <w:pPr>
        <w:spacing w:before="120"/>
        <w:rPr>
          <w:rFonts w:ascii="Arial" w:hAnsi="Arial" w:cs="Arial"/>
          <w:sz w:val="20"/>
          <w:lang w:val="en-AU"/>
        </w:rPr>
      </w:pPr>
      <w:r w:rsidRPr="00EE3FD3">
        <w:rPr>
          <w:rFonts w:ascii="Arial" w:hAnsi="Arial" w:cs="Arial"/>
          <w:sz w:val="20"/>
        </w:rPr>
        <w:t xml:space="preserve">Unsupervised hierarchical clustering exhibited forty-one differentially expressed proteins. We employed String and IPA analysis to further reveal </w:t>
      </w:r>
      <w:r w:rsidRPr="00EE3FD3">
        <w:rPr>
          <w:rFonts w:ascii="Arial" w:hAnsi="Arial" w:cs="Arial"/>
          <w:sz w:val="20"/>
        </w:rPr>
        <w:t xml:space="preserve">Gene-Ontology (GO) terms associated with metabolic stress and extracellular vesicle transport such as extracellular exosomes and mitochondrial proteins (FDR &lt;0.05 cut off) to be deregulated. Furthermore, they belonged to mitochondrial dysfunction, </w:t>
      </w:r>
      <w:proofErr w:type="spellStart"/>
      <w:r w:rsidRPr="00EE3FD3">
        <w:rPr>
          <w:rFonts w:ascii="Arial" w:hAnsi="Arial" w:cs="Arial"/>
          <w:sz w:val="20"/>
        </w:rPr>
        <w:t>sirtuin</w:t>
      </w:r>
      <w:proofErr w:type="spellEnd"/>
      <w:r w:rsidRPr="00EE3FD3">
        <w:rPr>
          <w:rFonts w:ascii="Arial" w:hAnsi="Arial" w:cs="Arial"/>
          <w:sz w:val="20"/>
        </w:rPr>
        <w:t xml:space="preserve"> </w:t>
      </w:r>
      <w:r w:rsidRPr="00EE3FD3">
        <w:rPr>
          <w:rFonts w:ascii="Arial" w:hAnsi="Arial" w:cs="Arial"/>
          <w:sz w:val="20"/>
        </w:rPr>
        <w:t>signalling and apoptosis signalling pathways.</w:t>
      </w:r>
      <w:r w:rsidRPr="00EE3FD3">
        <w:rPr>
          <w:rFonts w:ascii="Arial" w:hAnsi="Arial" w:cs="Arial"/>
          <w:sz w:val="20"/>
        </w:rPr>
        <w:t xml:space="preserve"> </w:t>
      </w:r>
      <w:r w:rsidRPr="00EE3FD3">
        <w:rPr>
          <w:rFonts w:ascii="Arial" w:hAnsi="Arial" w:cs="Arial"/>
          <w:sz w:val="20"/>
        </w:rPr>
        <w:t xml:space="preserve">These findings suggest that tumour associated brain exhibits metabolic reprogramming, evident from deregulation of </w:t>
      </w:r>
      <w:proofErr w:type="spellStart"/>
      <w:r w:rsidRPr="00EE3FD3">
        <w:rPr>
          <w:rFonts w:ascii="Arial" w:hAnsi="Arial" w:cs="Arial"/>
          <w:sz w:val="20"/>
        </w:rPr>
        <w:t>exosomal</w:t>
      </w:r>
      <w:proofErr w:type="spellEnd"/>
      <w:r w:rsidRPr="00EE3FD3">
        <w:rPr>
          <w:rFonts w:ascii="Arial" w:hAnsi="Arial" w:cs="Arial"/>
          <w:sz w:val="20"/>
        </w:rPr>
        <w:t xml:space="preserve"> and mitochondrial pathways. This indicates that the bioenergetics demand of the microe</w:t>
      </w:r>
      <w:r w:rsidRPr="00EE3FD3">
        <w:rPr>
          <w:rFonts w:ascii="Arial" w:hAnsi="Arial" w:cs="Arial"/>
          <w:sz w:val="20"/>
        </w:rPr>
        <w:t xml:space="preserve">nvironment has altered the </w:t>
      </w:r>
      <w:r w:rsidRPr="00EE3FD3">
        <w:rPr>
          <w:rFonts w:ascii="Arial" w:hAnsi="Arial" w:cs="Arial"/>
          <w:i/>
          <w:sz w:val="20"/>
        </w:rPr>
        <w:t xml:space="preserve">milieu </w:t>
      </w:r>
      <w:proofErr w:type="spellStart"/>
      <w:r w:rsidRPr="00EE3FD3">
        <w:rPr>
          <w:rFonts w:ascii="Arial" w:hAnsi="Arial" w:cs="Arial"/>
          <w:i/>
          <w:sz w:val="20"/>
        </w:rPr>
        <w:t>intérieur</w:t>
      </w:r>
      <w:proofErr w:type="spellEnd"/>
      <w:r w:rsidRPr="00EE3FD3">
        <w:rPr>
          <w:rFonts w:ascii="Arial" w:hAnsi="Arial" w:cs="Arial"/>
          <w:i/>
          <w:sz w:val="20"/>
        </w:rPr>
        <w:t xml:space="preserve"> </w:t>
      </w:r>
      <w:r w:rsidRPr="00EE3FD3">
        <w:rPr>
          <w:rFonts w:ascii="Arial" w:hAnsi="Arial" w:cs="Arial"/>
          <w:sz w:val="20"/>
        </w:rPr>
        <w:t>of the brain. Apart from validating these findings on additional mouse brain xenografts and clinical samples, future work will focus on studying these metabolic changes for targeting and therapeutic purposes.</w:t>
      </w:r>
    </w:p>
    <w:p w:rsidR="004F6BFD" w:rsidRPr="00EE3FD3" w:rsidRDefault="00EE3FD3">
      <w:pPr>
        <w:spacing w:before="120" w:line="240" w:lineRule="exact"/>
        <w:ind w:left="360"/>
        <w:rPr>
          <w:rFonts w:ascii="Arial" w:hAnsi="Arial" w:cs="Arial"/>
          <w:sz w:val="20"/>
          <w:lang w:val="en-AU"/>
        </w:rPr>
      </w:pPr>
      <w:r w:rsidRPr="00EE3FD3">
        <w:rPr>
          <w:rFonts w:ascii="Arial" w:hAnsi="Arial" w:cs="Arial"/>
          <w:sz w:val="20"/>
          <w:lang w:val="en-AU"/>
        </w:rPr>
        <w:t xml:space="preserve"> </w:t>
      </w:r>
    </w:p>
    <w:p w:rsidR="004F6BFD" w:rsidRPr="00EE3FD3" w:rsidRDefault="004F6BFD">
      <w:pPr>
        <w:spacing w:before="120" w:line="240" w:lineRule="exact"/>
        <w:rPr>
          <w:rFonts w:ascii="Arial" w:hAnsi="Arial" w:cs="Arial"/>
          <w:b/>
        </w:rPr>
      </w:pPr>
    </w:p>
    <w:p w:rsidR="004F6BFD" w:rsidRPr="00EE3FD3" w:rsidRDefault="00EE3FD3">
      <w:pPr>
        <w:pStyle w:val="EndNoteBibliography"/>
        <w:ind w:left="720" w:hanging="720"/>
        <w:rPr>
          <w:rFonts w:ascii="Arial" w:hAnsi="Arial" w:cs="Arial"/>
          <w:noProof/>
          <w:sz w:val="20"/>
        </w:rPr>
      </w:pPr>
      <w:r w:rsidRPr="00EE3FD3">
        <w:rPr>
          <w:rFonts w:ascii="Arial" w:hAnsi="Arial" w:cs="Arial"/>
        </w:rPr>
        <w:fldChar w:fldCharType="begin"/>
      </w:r>
      <w:r w:rsidRPr="00EE3FD3">
        <w:rPr>
          <w:rFonts w:ascii="Arial" w:hAnsi="Arial" w:cs="Arial"/>
        </w:rPr>
        <w:instrText xml:space="preserve"> ADDIN EN.REFLIST </w:instrText>
      </w:r>
      <w:r w:rsidRPr="00EE3FD3">
        <w:rPr>
          <w:rFonts w:ascii="Arial" w:hAnsi="Arial" w:cs="Arial"/>
        </w:rPr>
        <w:fldChar w:fldCharType="separate"/>
      </w:r>
      <w:r w:rsidRPr="00EE3FD3">
        <w:rPr>
          <w:rFonts w:ascii="Arial" w:hAnsi="Arial" w:cs="Arial"/>
          <w:noProof/>
          <w:sz w:val="20"/>
        </w:rPr>
        <w:t>1.</w:t>
      </w:r>
      <w:r w:rsidRPr="00EE3FD3">
        <w:rPr>
          <w:rFonts w:ascii="Arial" w:hAnsi="Arial" w:cs="Arial"/>
          <w:noProof/>
          <w:sz w:val="20"/>
        </w:rPr>
        <w:tab/>
        <w:t xml:space="preserve">Tabouret E, Chinot O, Metellus P, Tallet A, Viens P, Goncalves A: </w:t>
      </w:r>
      <w:r w:rsidRPr="00EE3FD3">
        <w:rPr>
          <w:rFonts w:ascii="Arial" w:hAnsi="Arial" w:cs="Arial"/>
          <w:b/>
          <w:i/>
          <w:noProof/>
          <w:sz w:val="20"/>
        </w:rPr>
        <w:t>Recent trends in epidemiology of brain metastases: an overview</w:t>
      </w:r>
      <w:r w:rsidRPr="00EE3FD3">
        <w:rPr>
          <w:rFonts w:ascii="Arial" w:hAnsi="Arial" w:cs="Arial"/>
          <w:noProof/>
          <w:sz w:val="20"/>
        </w:rPr>
        <w:t xml:space="preserve">. </w:t>
      </w:r>
      <w:r w:rsidRPr="00EE3FD3">
        <w:rPr>
          <w:rFonts w:ascii="Arial" w:hAnsi="Arial" w:cs="Arial"/>
          <w:i/>
          <w:noProof/>
          <w:sz w:val="20"/>
        </w:rPr>
        <w:t xml:space="preserve">Anticancer Res </w:t>
      </w:r>
      <w:r w:rsidRPr="00EE3FD3">
        <w:rPr>
          <w:rFonts w:ascii="Arial" w:hAnsi="Arial" w:cs="Arial"/>
          <w:noProof/>
          <w:sz w:val="20"/>
        </w:rPr>
        <w:t xml:space="preserve">2012, </w:t>
      </w:r>
      <w:r w:rsidRPr="00EE3FD3">
        <w:rPr>
          <w:rFonts w:ascii="Arial" w:hAnsi="Arial" w:cs="Arial"/>
          <w:b/>
          <w:noProof/>
          <w:sz w:val="20"/>
        </w:rPr>
        <w:t>32</w:t>
      </w:r>
      <w:r w:rsidRPr="00EE3FD3">
        <w:rPr>
          <w:rFonts w:ascii="Arial" w:hAnsi="Arial" w:cs="Arial"/>
          <w:noProof/>
          <w:sz w:val="20"/>
        </w:rPr>
        <w:t>(11):4655-4662.</w:t>
      </w:r>
    </w:p>
    <w:p w:rsidR="004F6BFD" w:rsidRPr="00EE3FD3" w:rsidRDefault="00EE3FD3">
      <w:pPr>
        <w:pStyle w:val="EndNoteBibliography"/>
        <w:ind w:left="720" w:hanging="720"/>
        <w:rPr>
          <w:rFonts w:ascii="Arial" w:hAnsi="Arial" w:cs="Arial"/>
          <w:noProof/>
          <w:sz w:val="20"/>
        </w:rPr>
      </w:pPr>
      <w:r w:rsidRPr="00EE3FD3">
        <w:rPr>
          <w:rFonts w:ascii="Arial" w:hAnsi="Arial" w:cs="Arial"/>
          <w:noProof/>
          <w:sz w:val="20"/>
        </w:rPr>
        <w:t>2.</w:t>
      </w:r>
      <w:r w:rsidRPr="00EE3FD3">
        <w:rPr>
          <w:rFonts w:ascii="Arial" w:hAnsi="Arial" w:cs="Arial"/>
          <w:noProof/>
          <w:sz w:val="20"/>
        </w:rPr>
        <w:tab/>
        <w:t>Niikura N, Hayashi N, Masuda N, Takashima S, Nakamura R, Watana</w:t>
      </w:r>
      <w:r w:rsidRPr="00EE3FD3">
        <w:rPr>
          <w:rFonts w:ascii="Arial" w:hAnsi="Arial" w:cs="Arial"/>
          <w:noProof/>
          <w:sz w:val="20"/>
        </w:rPr>
        <w:t>be K, Kanbayashi C, Ishida M, Hozumi Y, Tsuneizumi M</w:t>
      </w:r>
      <w:r w:rsidRPr="00EE3FD3">
        <w:rPr>
          <w:rFonts w:ascii="Arial" w:hAnsi="Arial" w:cs="Arial"/>
          <w:i/>
          <w:noProof/>
          <w:sz w:val="20"/>
        </w:rPr>
        <w:t xml:space="preserve"> et al</w:t>
      </w:r>
      <w:r w:rsidRPr="00EE3FD3">
        <w:rPr>
          <w:rFonts w:ascii="Arial" w:hAnsi="Arial" w:cs="Arial"/>
          <w:noProof/>
          <w:sz w:val="20"/>
        </w:rPr>
        <w:t xml:space="preserve">: </w:t>
      </w:r>
      <w:r w:rsidRPr="00EE3FD3">
        <w:rPr>
          <w:rFonts w:ascii="Arial" w:hAnsi="Arial" w:cs="Arial"/>
          <w:b/>
          <w:i/>
          <w:noProof/>
          <w:sz w:val="20"/>
        </w:rPr>
        <w:t>Treatment outcomes and prognostic factors for patients with brain metastases from breast cancer of each subtype: a multicenter retrospective analysis</w:t>
      </w:r>
      <w:r w:rsidRPr="00EE3FD3">
        <w:rPr>
          <w:rFonts w:ascii="Arial" w:hAnsi="Arial" w:cs="Arial"/>
          <w:noProof/>
          <w:sz w:val="20"/>
        </w:rPr>
        <w:t xml:space="preserve">. </w:t>
      </w:r>
      <w:r w:rsidRPr="00EE3FD3">
        <w:rPr>
          <w:rFonts w:ascii="Arial" w:hAnsi="Arial" w:cs="Arial"/>
          <w:i/>
          <w:noProof/>
          <w:sz w:val="20"/>
        </w:rPr>
        <w:t xml:space="preserve">Breast Cancer Res Treat </w:t>
      </w:r>
      <w:r w:rsidRPr="00EE3FD3">
        <w:rPr>
          <w:rFonts w:ascii="Arial" w:hAnsi="Arial" w:cs="Arial"/>
          <w:noProof/>
          <w:sz w:val="20"/>
        </w:rPr>
        <w:t xml:space="preserve">2014, </w:t>
      </w:r>
      <w:r w:rsidRPr="00EE3FD3">
        <w:rPr>
          <w:rFonts w:ascii="Arial" w:hAnsi="Arial" w:cs="Arial"/>
          <w:b/>
          <w:noProof/>
          <w:sz w:val="20"/>
        </w:rPr>
        <w:t>147</w:t>
      </w:r>
      <w:r w:rsidRPr="00EE3FD3">
        <w:rPr>
          <w:rFonts w:ascii="Arial" w:hAnsi="Arial" w:cs="Arial"/>
          <w:noProof/>
          <w:sz w:val="20"/>
        </w:rPr>
        <w:t>(1):103-112.</w:t>
      </w:r>
    </w:p>
    <w:p w:rsidR="004F6BFD" w:rsidRPr="00EE3FD3" w:rsidRDefault="00EE3FD3">
      <w:pPr>
        <w:pStyle w:val="EndNoteBibliography"/>
        <w:ind w:left="720" w:hanging="720"/>
        <w:rPr>
          <w:rFonts w:ascii="Arial" w:hAnsi="Arial" w:cs="Arial"/>
          <w:noProof/>
          <w:sz w:val="20"/>
        </w:rPr>
      </w:pPr>
      <w:r w:rsidRPr="00EE3FD3">
        <w:rPr>
          <w:rFonts w:ascii="Arial" w:hAnsi="Arial" w:cs="Arial"/>
          <w:noProof/>
          <w:sz w:val="20"/>
        </w:rPr>
        <w:t>3.</w:t>
      </w:r>
      <w:r w:rsidRPr="00EE3FD3">
        <w:rPr>
          <w:rFonts w:ascii="Arial" w:hAnsi="Arial" w:cs="Arial"/>
          <w:noProof/>
          <w:sz w:val="20"/>
        </w:rPr>
        <w:tab/>
        <w:t xml:space="preserve">Quigley MR, Fukui O, Chew B, Bhatia S, Karlovits S: </w:t>
      </w:r>
      <w:r w:rsidRPr="00EE3FD3">
        <w:rPr>
          <w:rFonts w:ascii="Arial" w:hAnsi="Arial" w:cs="Arial"/>
          <w:b/>
          <w:i/>
          <w:noProof/>
          <w:sz w:val="20"/>
        </w:rPr>
        <w:t>The shifting landscape of metastatic breast cancer to the CNS</w:t>
      </w:r>
      <w:r w:rsidRPr="00EE3FD3">
        <w:rPr>
          <w:rFonts w:ascii="Arial" w:hAnsi="Arial" w:cs="Arial"/>
          <w:noProof/>
          <w:sz w:val="20"/>
        </w:rPr>
        <w:t xml:space="preserve">. </w:t>
      </w:r>
      <w:r w:rsidRPr="00EE3FD3">
        <w:rPr>
          <w:rFonts w:ascii="Arial" w:hAnsi="Arial" w:cs="Arial"/>
          <w:i/>
          <w:noProof/>
          <w:sz w:val="20"/>
        </w:rPr>
        <w:t xml:space="preserve">Neurosurg Rev </w:t>
      </w:r>
      <w:r w:rsidRPr="00EE3FD3">
        <w:rPr>
          <w:rFonts w:ascii="Arial" w:hAnsi="Arial" w:cs="Arial"/>
          <w:noProof/>
          <w:sz w:val="20"/>
        </w:rPr>
        <w:t xml:space="preserve">2013, </w:t>
      </w:r>
      <w:r w:rsidRPr="00EE3FD3">
        <w:rPr>
          <w:rFonts w:ascii="Arial" w:hAnsi="Arial" w:cs="Arial"/>
          <w:b/>
          <w:noProof/>
          <w:sz w:val="20"/>
        </w:rPr>
        <w:t>36</w:t>
      </w:r>
      <w:r w:rsidRPr="00EE3FD3">
        <w:rPr>
          <w:rFonts w:ascii="Arial" w:hAnsi="Arial" w:cs="Arial"/>
          <w:noProof/>
          <w:sz w:val="20"/>
        </w:rPr>
        <w:t>(3):377-382.</w:t>
      </w:r>
    </w:p>
    <w:p w:rsidR="004F6BFD" w:rsidRPr="00EE3FD3" w:rsidRDefault="00EE3FD3">
      <w:pPr>
        <w:pStyle w:val="EndNoteBibliography"/>
        <w:ind w:left="720" w:hanging="720"/>
        <w:rPr>
          <w:rFonts w:ascii="Arial" w:hAnsi="Arial" w:cs="Arial"/>
          <w:noProof/>
          <w:sz w:val="20"/>
        </w:rPr>
      </w:pPr>
      <w:r w:rsidRPr="00EE3FD3">
        <w:rPr>
          <w:rFonts w:ascii="Arial" w:hAnsi="Arial" w:cs="Arial"/>
          <w:noProof/>
          <w:sz w:val="20"/>
        </w:rPr>
        <w:t>4.</w:t>
      </w:r>
      <w:r w:rsidRPr="00EE3FD3">
        <w:rPr>
          <w:rFonts w:ascii="Arial" w:hAnsi="Arial" w:cs="Arial"/>
          <w:noProof/>
          <w:sz w:val="20"/>
        </w:rPr>
        <w:tab/>
        <w:t xml:space="preserve">Quail DF, Joyce JA: </w:t>
      </w:r>
      <w:r w:rsidRPr="00EE3FD3">
        <w:rPr>
          <w:rFonts w:ascii="Arial" w:hAnsi="Arial" w:cs="Arial"/>
          <w:b/>
          <w:i/>
          <w:noProof/>
          <w:sz w:val="20"/>
        </w:rPr>
        <w:t>The Microenvironmental Landscape of Brain Tumors</w:t>
      </w:r>
      <w:r w:rsidRPr="00EE3FD3">
        <w:rPr>
          <w:rFonts w:ascii="Arial" w:hAnsi="Arial" w:cs="Arial"/>
          <w:noProof/>
          <w:sz w:val="20"/>
        </w:rPr>
        <w:t xml:space="preserve">. </w:t>
      </w:r>
      <w:r w:rsidRPr="00EE3FD3">
        <w:rPr>
          <w:rFonts w:ascii="Arial" w:hAnsi="Arial" w:cs="Arial"/>
          <w:i/>
          <w:noProof/>
          <w:sz w:val="20"/>
        </w:rPr>
        <w:t xml:space="preserve">Cancer Cell </w:t>
      </w:r>
      <w:r w:rsidRPr="00EE3FD3">
        <w:rPr>
          <w:rFonts w:ascii="Arial" w:hAnsi="Arial" w:cs="Arial"/>
          <w:noProof/>
          <w:sz w:val="20"/>
        </w:rPr>
        <w:t xml:space="preserve">2017, </w:t>
      </w:r>
      <w:r w:rsidRPr="00EE3FD3">
        <w:rPr>
          <w:rFonts w:ascii="Arial" w:hAnsi="Arial" w:cs="Arial"/>
          <w:b/>
          <w:noProof/>
          <w:sz w:val="20"/>
        </w:rPr>
        <w:t>31</w:t>
      </w:r>
      <w:r w:rsidRPr="00EE3FD3">
        <w:rPr>
          <w:rFonts w:ascii="Arial" w:hAnsi="Arial" w:cs="Arial"/>
          <w:noProof/>
          <w:sz w:val="20"/>
        </w:rPr>
        <w:t>(3):326-3</w:t>
      </w:r>
      <w:r w:rsidRPr="00EE3FD3">
        <w:rPr>
          <w:rFonts w:ascii="Arial" w:hAnsi="Arial" w:cs="Arial"/>
          <w:noProof/>
          <w:sz w:val="20"/>
        </w:rPr>
        <w:t>41.</w:t>
      </w:r>
    </w:p>
    <w:p w:rsidR="004F6BFD" w:rsidRPr="00EE3FD3" w:rsidRDefault="00EE3FD3">
      <w:pPr>
        <w:rPr>
          <w:rFonts w:ascii="Arial" w:hAnsi="Arial" w:cs="Arial"/>
        </w:rPr>
        <w:sectPr w:rsidR="004F6BFD" w:rsidRPr="00EE3FD3">
          <w:pgSz w:w="12240" w:h="15840"/>
          <w:pgMar w:top="1133" w:right="850" w:bottom="1133" w:left="1700" w:header="708" w:footer="708" w:gutter="0"/>
          <w:cols w:space="720"/>
        </w:sectPr>
      </w:pPr>
      <w:r w:rsidRPr="00EE3FD3">
        <w:rPr>
          <w:rFonts w:ascii="Arial" w:hAnsi="Arial" w:cs="Arial"/>
        </w:rPr>
        <w:fldChar w:fldCharType="end"/>
      </w:r>
    </w:p>
    <w:p w:rsidR="004F6BFD" w:rsidRPr="00EE3FD3" w:rsidRDefault="004F6BFD">
      <w:pPr>
        <w:rPr>
          <w:rFonts w:ascii="Arial" w:hAnsi="Arial" w:cs="Arial"/>
        </w:rPr>
      </w:pPr>
    </w:p>
    <w:p w:rsidR="004F6BFD" w:rsidRPr="00EE3FD3" w:rsidRDefault="00EE3FD3">
      <w:pPr>
        <w:pStyle w:val="AbstractBookSessionDetails"/>
        <w:rPr>
          <w:rFonts w:ascii="Arial" w:hAnsi="Arial" w:cs="Arial"/>
          <w:sz w:val="20"/>
        </w:rPr>
      </w:pPr>
      <w:r w:rsidRPr="00EE3FD3">
        <w:rPr>
          <w:rFonts w:ascii="Arial" w:hAnsi="Arial" w:cs="Arial"/>
          <w:sz w:val="20"/>
        </w:rPr>
        <w:t>Session two, August 24, 2018, 11:20 AM - 12:40 PM</w:t>
      </w:r>
    </w:p>
    <w:p w:rsidR="004F6BFD" w:rsidRPr="00EE3FD3" w:rsidRDefault="004F6BFD">
      <w:pPr>
        <w:pStyle w:val="AbstractBookBaseParagraph"/>
        <w:rPr>
          <w:rFonts w:ascii="Arial" w:hAnsi="Arial" w:cs="Arial"/>
        </w:rPr>
      </w:pPr>
    </w:p>
    <w:p w:rsidR="004F6BFD" w:rsidRDefault="00EE3FD3">
      <w:pPr>
        <w:rPr>
          <w:rFonts w:ascii="Arial" w:hAnsi="Arial" w:cs="Arial"/>
          <w:b/>
          <w:sz w:val="24"/>
        </w:rPr>
      </w:pPr>
      <w:r w:rsidRPr="00EE3FD3">
        <w:rPr>
          <w:rFonts w:ascii="Arial" w:hAnsi="Arial" w:cs="Arial"/>
          <w:b/>
          <w:sz w:val="24"/>
        </w:rPr>
        <w:t>Merkel Cell Polyomavirus status predicts outcome for Merkel Cell Carcinoma in a New Zealand cohort</w:t>
      </w:r>
    </w:p>
    <w:p w:rsidR="00EE3FD3" w:rsidRPr="00EE3FD3" w:rsidRDefault="00EE3FD3">
      <w:pPr>
        <w:rPr>
          <w:rFonts w:ascii="Arial" w:hAnsi="Arial" w:cs="Arial"/>
        </w:rPr>
      </w:pPr>
    </w:p>
    <w:p w:rsidR="004F6BFD" w:rsidRPr="00EE3FD3" w:rsidRDefault="00EE3FD3">
      <w:pPr>
        <w:rPr>
          <w:rFonts w:ascii="Arial" w:hAnsi="Arial" w:cs="Arial"/>
        </w:rPr>
      </w:pPr>
      <w:r w:rsidRPr="00EE3FD3">
        <w:rPr>
          <w:rFonts w:ascii="Arial" w:hAnsi="Arial" w:cs="Arial"/>
          <w:b/>
          <w:sz w:val="20"/>
        </w:rPr>
        <w:t>Parker, Kate</w:t>
      </w:r>
      <w:r w:rsidRPr="00EE3FD3">
        <w:rPr>
          <w:rFonts w:ascii="Arial" w:hAnsi="Arial" w:cs="Arial"/>
          <w:b/>
          <w:sz w:val="20"/>
          <w:vertAlign w:val="superscript"/>
        </w:rPr>
        <w:t>1</w:t>
      </w:r>
      <w:r w:rsidRPr="00EE3FD3">
        <w:rPr>
          <w:rFonts w:ascii="Arial" w:hAnsi="Arial" w:cs="Arial"/>
          <w:sz w:val="20"/>
        </w:rPr>
        <w:t>, Woodhouse, Braden</w:t>
      </w:r>
      <w:r w:rsidRPr="00EE3FD3">
        <w:rPr>
          <w:rFonts w:ascii="Arial" w:hAnsi="Arial" w:cs="Arial"/>
          <w:sz w:val="20"/>
          <w:vertAlign w:val="superscript"/>
        </w:rPr>
        <w:t>1</w:t>
      </w:r>
      <w:r w:rsidRPr="00EE3FD3">
        <w:rPr>
          <w:rFonts w:ascii="Arial" w:hAnsi="Arial" w:cs="Arial"/>
          <w:sz w:val="20"/>
        </w:rPr>
        <w:t>, Robb, Tamsin</w:t>
      </w:r>
      <w:r w:rsidRPr="00EE3FD3">
        <w:rPr>
          <w:rFonts w:ascii="Arial" w:hAnsi="Arial" w:cs="Arial"/>
          <w:sz w:val="20"/>
          <w:vertAlign w:val="superscript"/>
        </w:rPr>
        <w:t>1</w:t>
      </w:r>
      <w:r w:rsidRPr="00EE3FD3">
        <w:rPr>
          <w:rFonts w:ascii="Arial" w:hAnsi="Arial" w:cs="Arial"/>
          <w:sz w:val="20"/>
        </w:rPr>
        <w:t>, Houseman, Pascalene</w:t>
      </w:r>
      <w:r w:rsidRPr="00EE3FD3">
        <w:rPr>
          <w:rFonts w:ascii="Arial" w:hAnsi="Arial" w:cs="Arial"/>
          <w:sz w:val="20"/>
          <w:vertAlign w:val="superscript"/>
        </w:rPr>
        <w:t>1</w:t>
      </w:r>
      <w:r w:rsidRPr="00EE3FD3">
        <w:rPr>
          <w:rFonts w:ascii="Arial" w:hAnsi="Arial" w:cs="Arial"/>
          <w:sz w:val="20"/>
        </w:rPr>
        <w:t xml:space="preserve">, </w:t>
      </w:r>
      <w:proofErr w:type="spellStart"/>
      <w:r w:rsidRPr="00EE3FD3">
        <w:rPr>
          <w:rFonts w:ascii="Arial" w:hAnsi="Arial" w:cs="Arial"/>
          <w:sz w:val="20"/>
        </w:rPr>
        <w:t>Restall</w:t>
      </w:r>
      <w:proofErr w:type="spellEnd"/>
      <w:r w:rsidRPr="00EE3FD3">
        <w:rPr>
          <w:rFonts w:ascii="Arial" w:hAnsi="Arial" w:cs="Arial"/>
          <w:sz w:val="20"/>
        </w:rPr>
        <w:t xml:space="preserve">, </w:t>
      </w:r>
      <w:r w:rsidRPr="00EE3FD3">
        <w:rPr>
          <w:rFonts w:ascii="Arial" w:hAnsi="Arial" w:cs="Arial"/>
          <w:sz w:val="20"/>
        </w:rPr>
        <w:t>Paul</w:t>
      </w:r>
      <w:r w:rsidRPr="00EE3FD3">
        <w:rPr>
          <w:rFonts w:ascii="Arial" w:hAnsi="Arial" w:cs="Arial"/>
          <w:sz w:val="20"/>
          <w:vertAlign w:val="superscript"/>
        </w:rPr>
        <w:t>2</w:t>
      </w:r>
      <w:r w:rsidRPr="00EE3FD3">
        <w:rPr>
          <w:rFonts w:ascii="Arial" w:hAnsi="Arial" w:cs="Arial"/>
          <w:sz w:val="20"/>
        </w:rPr>
        <w:t>, Miller, Rose</w:t>
      </w:r>
      <w:r w:rsidRPr="00EE3FD3">
        <w:rPr>
          <w:rFonts w:ascii="Arial" w:hAnsi="Arial" w:cs="Arial"/>
          <w:sz w:val="20"/>
          <w:vertAlign w:val="superscript"/>
        </w:rPr>
        <w:t>2</w:t>
      </w:r>
      <w:r w:rsidRPr="00EE3FD3">
        <w:rPr>
          <w:rFonts w:ascii="Arial" w:hAnsi="Arial" w:cs="Arial"/>
          <w:sz w:val="20"/>
        </w:rPr>
        <w:t>, Low, Irene</w:t>
      </w:r>
      <w:r w:rsidRPr="00EE3FD3">
        <w:rPr>
          <w:rFonts w:ascii="Arial" w:hAnsi="Arial" w:cs="Arial"/>
          <w:sz w:val="20"/>
          <w:vertAlign w:val="superscript"/>
        </w:rPr>
        <w:t>3</w:t>
      </w:r>
      <w:r w:rsidRPr="00EE3FD3">
        <w:rPr>
          <w:rFonts w:ascii="Arial" w:hAnsi="Arial" w:cs="Arial"/>
          <w:sz w:val="20"/>
        </w:rPr>
        <w:t>, Hayward, Greg</w:t>
      </w:r>
      <w:r w:rsidRPr="00EE3FD3">
        <w:rPr>
          <w:rFonts w:ascii="Arial" w:hAnsi="Arial" w:cs="Arial"/>
          <w:sz w:val="20"/>
          <w:vertAlign w:val="superscript"/>
        </w:rPr>
        <w:t>4</w:t>
      </w:r>
      <w:r w:rsidRPr="00EE3FD3">
        <w:rPr>
          <w:rFonts w:ascii="Arial" w:hAnsi="Arial" w:cs="Arial"/>
          <w:sz w:val="20"/>
        </w:rPr>
        <w:t>, Knowlton, Nicholas</w:t>
      </w:r>
      <w:r w:rsidRPr="00EE3FD3">
        <w:rPr>
          <w:rFonts w:ascii="Arial" w:hAnsi="Arial" w:cs="Arial"/>
          <w:sz w:val="20"/>
          <w:vertAlign w:val="superscript"/>
        </w:rPr>
        <w:t>1</w:t>
      </w:r>
      <w:r w:rsidRPr="00EE3FD3">
        <w:rPr>
          <w:rFonts w:ascii="Arial" w:hAnsi="Arial" w:cs="Arial"/>
          <w:sz w:val="20"/>
        </w:rPr>
        <w:t>, Findlay, Michael</w:t>
      </w:r>
      <w:r w:rsidRPr="00EE3FD3">
        <w:rPr>
          <w:rFonts w:ascii="Arial" w:hAnsi="Arial" w:cs="Arial"/>
          <w:sz w:val="20"/>
          <w:vertAlign w:val="superscript"/>
        </w:rPr>
        <w:t>1</w:t>
      </w:r>
      <w:r w:rsidRPr="00EE3FD3">
        <w:rPr>
          <w:rFonts w:ascii="Arial" w:hAnsi="Arial" w:cs="Arial"/>
          <w:sz w:val="20"/>
        </w:rPr>
        <w:t>, Print, Cristin</w:t>
      </w:r>
      <w:r w:rsidRPr="00EE3FD3">
        <w:rPr>
          <w:rFonts w:ascii="Arial" w:hAnsi="Arial" w:cs="Arial"/>
          <w:sz w:val="20"/>
          <w:vertAlign w:val="superscript"/>
        </w:rPr>
        <w:t>1</w:t>
      </w:r>
      <w:r w:rsidRPr="00EE3FD3">
        <w:rPr>
          <w:rFonts w:ascii="Arial" w:hAnsi="Arial" w:cs="Arial"/>
          <w:sz w:val="20"/>
        </w:rPr>
        <w:t>, Lawrence, Ben</w:t>
      </w:r>
      <w:r w:rsidRPr="00EE3FD3">
        <w:rPr>
          <w:rFonts w:ascii="Arial" w:hAnsi="Arial" w:cs="Arial"/>
          <w:sz w:val="20"/>
          <w:vertAlign w:val="superscript"/>
        </w:rPr>
        <w:t>1</w:t>
      </w:r>
      <w:r w:rsidRPr="00EE3FD3">
        <w:rPr>
          <w:rFonts w:ascii="Arial" w:hAnsi="Arial" w:cs="Arial"/>
          <w:sz w:val="20"/>
        </w:rPr>
        <w:t>, Blenkiron, Cherie</w:t>
      </w:r>
      <w:r w:rsidRPr="00EE3FD3">
        <w:rPr>
          <w:rFonts w:ascii="Arial" w:hAnsi="Arial" w:cs="Arial"/>
          <w:sz w:val="20"/>
          <w:vertAlign w:val="superscript"/>
        </w:rPr>
        <w:t>1</w:t>
      </w:r>
    </w:p>
    <w:p w:rsidR="004F6BFD" w:rsidRPr="00EE3FD3" w:rsidRDefault="004F6BFD">
      <w:pPr>
        <w:rPr>
          <w:rFonts w:ascii="Arial" w:hAnsi="Arial" w:cs="Arial"/>
          <w:sz w:val="20"/>
        </w:rPr>
      </w:pPr>
    </w:p>
    <w:p w:rsidR="004F6BFD" w:rsidRPr="00EE3FD3" w:rsidRDefault="00EE3FD3">
      <w:pPr>
        <w:rPr>
          <w:rFonts w:ascii="Arial" w:hAnsi="Arial" w:cs="Arial"/>
          <w:sz w:val="20"/>
        </w:rPr>
      </w:pPr>
      <w:r w:rsidRPr="00EE3FD3">
        <w:rPr>
          <w:rFonts w:ascii="Arial" w:hAnsi="Arial" w:cs="Arial"/>
          <w:sz w:val="20"/>
        </w:rPr>
        <w:t>Affiliations</w:t>
      </w:r>
    </w:p>
    <w:p w:rsidR="004F6BFD" w:rsidRPr="00EE3FD3" w:rsidRDefault="00EE3FD3">
      <w:pPr>
        <w:rPr>
          <w:rFonts w:ascii="Arial" w:hAnsi="Arial" w:cs="Arial"/>
          <w:i/>
        </w:rPr>
      </w:pPr>
      <w:r w:rsidRPr="00EE3FD3">
        <w:rPr>
          <w:rFonts w:ascii="Arial" w:hAnsi="Arial" w:cs="Arial"/>
          <w:i/>
          <w:sz w:val="20"/>
        </w:rPr>
        <w:t>1 Faculty of Medicine and Health Sciences, University of Auckland</w:t>
      </w:r>
      <w:r w:rsidRPr="00EE3FD3">
        <w:rPr>
          <w:rFonts w:ascii="Arial" w:hAnsi="Arial" w:cs="Arial"/>
          <w:i/>
          <w:sz w:val="20"/>
        </w:rPr>
        <w:br/>
        <w:t>2 Auckland District Health Board</w:t>
      </w:r>
      <w:r w:rsidRPr="00EE3FD3">
        <w:rPr>
          <w:rFonts w:ascii="Arial" w:hAnsi="Arial" w:cs="Arial"/>
          <w:i/>
          <w:sz w:val="20"/>
        </w:rPr>
        <w:br/>
      </w:r>
      <w:r w:rsidRPr="00EE3FD3">
        <w:rPr>
          <w:rFonts w:ascii="Arial" w:hAnsi="Arial" w:cs="Arial"/>
          <w:i/>
          <w:sz w:val="20"/>
        </w:rPr>
        <w:t xml:space="preserve">3 Counties </w:t>
      </w:r>
      <w:proofErr w:type="spellStart"/>
      <w:r w:rsidRPr="00EE3FD3">
        <w:rPr>
          <w:rFonts w:ascii="Arial" w:hAnsi="Arial" w:cs="Arial"/>
          <w:i/>
          <w:sz w:val="20"/>
        </w:rPr>
        <w:t>Manukau</w:t>
      </w:r>
      <w:proofErr w:type="spellEnd"/>
      <w:r w:rsidRPr="00EE3FD3">
        <w:rPr>
          <w:rFonts w:ascii="Arial" w:hAnsi="Arial" w:cs="Arial"/>
          <w:i/>
          <w:sz w:val="20"/>
        </w:rPr>
        <w:t xml:space="preserve"> District Health Board</w:t>
      </w:r>
      <w:r w:rsidRPr="00EE3FD3">
        <w:rPr>
          <w:rFonts w:ascii="Arial" w:hAnsi="Arial" w:cs="Arial"/>
          <w:i/>
          <w:sz w:val="20"/>
        </w:rPr>
        <w:br/>
        <w:t xml:space="preserve">4 </w:t>
      </w:r>
      <w:proofErr w:type="spellStart"/>
      <w:r w:rsidRPr="00EE3FD3">
        <w:rPr>
          <w:rFonts w:ascii="Arial" w:hAnsi="Arial" w:cs="Arial"/>
          <w:i/>
          <w:sz w:val="20"/>
        </w:rPr>
        <w:t>Waitemata</w:t>
      </w:r>
      <w:proofErr w:type="spellEnd"/>
      <w:r w:rsidRPr="00EE3FD3">
        <w:rPr>
          <w:rFonts w:ascii="Arial" w:hAnsi="Arial" w:cs="Arial"/>
          <w:i/>
          <w:sz w:val="20"/>
        </w:rPr>
        <w:t xml:space="preserve"> District Health Board</w:t>
      </w:r>
    </w:p>
    <w:p w:rsidR="004F6BFD" w:rsidRPr="00EE3FD3" w:rsidRDefault="00EE3FD3">
      <w:pPr>
        <w:rPr>
          <w:rFonts w:ascii="Arial" w:hAnsi="Arial" w:cs="Arial"/>
        </w:rPr>
      </w:pPr>
      <w:r w:rsidRPr="00EE3FD3">
        <w:rPr>
          <w:rFonts w:ascii="Arial" w:hAnsi="Arial" w:cs="Arial"/>
          <w:sz w:val="20"/>
        </w:rPr>
        <w:t> </w:t>
      </w:r>
    </w:p>
    <w:p w:rsidR="004F6BFD" w:rsidRPr="00EE3FD3" w:rsidRDefault="00EE3FD3">
      <w:pPr>
        <w:rPr>
          <w:rFonts w:ascii="Arial" w:hAnsi="Arial" w:cs="Arial"/>
        </w:rPr>
      </w:pPr>
      <w:r w:rsidRPr="00EE3FD3">
        <w:rPr>
          <w:rFonts w:ascii="Arial" w:hAnsi="Arial" w:cs="Arial"/>
          <w:sz w:val="20"/>
        </w:rPr>
        <w:t>Background: Merkel Cell Carcinoma (MCC) is a rare neuroendocrine skin cancer with a high mortality rate. Incidence in New Zealand is higher than in other parts of the world and is</w:t>
      </w:r>
      <w:r w:rsidRPr="00EE3FD3">
        <w:rPr>
          <w:rFonts w:ascii="Arial" w:hAnsi="Arial" w:cs="Arial"/>
          <w:sz w:val="20"/>
        </w:rPr>
        <w:t xml:space="preserve"> rising. In the Northern Hemisphere, Merkel Cell Polyomavirus (</w:t>
      </w:r>
      <w:proofErr w:type="spellStart"/>
      <w:r w:rsidRPr="00EE3FD3">
        <w:rPr>
          <w:rFonts w:ascii="Arial" w:hAnsi="Arial" w:cs="Arial"/>
          <w:sz w:val="20"/>
        </w:rPr>
        <w:t>MCPyV</w:t>
      </w:r>
      <w:proofErr w:type="spellEnd"/>
      <w:r w:rsidRPr="00EE3FD3">
        <w:rPr>
          <w:rFonts w:ascii="Arial" w:hAnsi="Arial" w:cs="Arial"/>
          <w:sz w:val="20"/>
        </w:rPr>
        <w:t xml:space="preserve">) is found in ~50 to 90% of MCC. However, studies from Australia suggest a much lower rate of </w:t>
      </w:r>
      <w:proofErr w:type="spellStart"/>
      <w:r w:rsidRPr="00EE3FD3">
        <w:rPr>
          <w:rFonts w:ascii="Arial" w:hAnsi="Arial" w:cs="Arial"/>
          <w:sz w:val="20"/>
        </w:rPr>
        <w:t>MCPyV</w:t>
      </w:r>
      <w:proofErr w:type="spellEnd"/>
      <w:r w:rsidRPr="00EE3FD3">
        <w:rPr>
          <w:rFonts w:ascii="Arial" w:hAnsi="Arial" w:cs="Arial"/>
          <w:sz w:val="20"/>
        </w:rPr>
        <w:t xml:space="preserve"> positivity, and mutation signatures support a dominant role for ultra violet (UV) DNA da</w:t>
      </w:r>
      <w:r w:rsidRPr="00EE3FD3">
        <w:rPr>
          <w:rFonts w:ascii="Arial" w:hAnsi="Arial" w:cs="Arial"/>
          <w:sz w:val="20"/>
        </w:rPr>
        <w:t xml:space="preserve">mage in the </w:t>
      </w:r>
      <w:proofErr w:type="spellStart"/>
      <w:r w:rsidRPr="00EE3FD3">
        <w:rPr>
          <w:rFonts w:ascii="Arial" w:hAnsi="Arial" w:cs="Arial"/>
          <w:sz w:val="20"/>
        </w:rPr>
        <w:t>etiology</w:t>
      </w:r>
      <w:proofErr w:type="spellEnd"/>
      <w:r w:rsidRPr="00EE3FD3">
        <w:rPr>
          <w:rFonts w:ascii="Arial" w:hAnsi="Arial" w:cs="Arial"/>
          <w:sz w:val="20"/>
        </w:rPr>
        <w:t xml:space="preserve"> of MCC. </w:t>
      </w:r>
    </w:p>
    <w:p w:rsidR="004F6BFD" w:rsidRPr="00EE3FD3" w:rsidRDefault="00EE3FD3">
      <w:pPr>
        <w:rPr>
          <w:rFonts w:ascii="Arial" w:hAnsi="Arial" w:cs="Arial"/>
        </w:rPr>
      </w:pPr>
      <w:r w:rsidRPr="00EE3FD3">
        <w:rPr>
          <w:rFonts w:ascii="Arial" w:hAnsi="Arial" w:cs="Arial"/>
          <w:sz w:val="20"/>
        </w:rPr>
        <w:t xml:space="preserve">Methods: A register was established containing information on patients </w:t>
      </w:r>
      <w:r w:rsidRPr="00EE3FD3">
        <w:rPr>
          <w:rFonts w:ascii="Arial" w:hAnsi="Arial" w:cs="Arial"/>
          <w:sz w:val="20"/>
          <w:lang w:val="en"/>
        </w:rPr>
        <w:t xml:space="preserve">diagnosed with neuroendocrine </w:t>
      </w:r>
      <w:proofErr w:type="spellStart"/>
      <w:r w:rsidRPr="00EE3FD3">
        <w:rPr>
          <w:rFonts w:ascii="Arial" w:hAnsi="Arial" w:cs="Arial"/>
          <w:sz w:val="20"/>
          <w:lang w:val="en"/>
        </w:rPr>
        <w:t>tumours</w:t>
      </w:r>
      <w:proofErr w:type="spellEnd"/>
      <w:r w:rsidRPr="00EE3FD3">
        <w:rPr>
          <w:rFonts w:ascii="Arial" w:hAnsi="Arial" w:cs="Arial"/>
          <w:sz w:val="20"/>
          <w:lang w:val="en"/>
        </w:rPr>
        <w:t xml:space="preserve"> in NZ. Primary data source was the New Zealand Cancer Registry searched using ICD-03 codes. This was supplemented by </w:t>
      </w:r>
      <w:r w:rsidRPr="00EE3FD3">
        <w:rPr>
          <w:rFonts w:ascii="Arial" w:hAnsi="Arial" w:cs="Arial"/>
          <w:sz w:val="20"/>
          <w:lang w:val="en"/>
        </w:rPr>
        <w:t xml:space="preserve">searches of pathology and departmental records. Clinical data on each case was collected from medical records. The registry included </w:t>
      </w:r>
      <w:r w:rsidRPr="00EE3FD3">
        <w:rPr>
          <w:rFonts w:ascii="Arial" w:hAnsi="Arial" w:cs="Arial"/>
          <w:sz w:val="20"/>
        </w:rPr>
        <w:t xml:space="preserve">355 patients diagnosed with MCC. Of these 355 patients, tissue samples were obtained for 106 patients to test </w:t>
      </w:r>
      <w:proofErr w:type="spellStart"/>
      <w:r w:rsidRPr="00EE3FD3">
        <w:rPr>
          <w:rFonts w:ascii="Arial" w:hAnsi="Arial" w:cs="Arial"/>
          <w:sz w:val="20"/>
        </w:rPr>
        <w:t>MCPyV</w:t>
      </w:r>
      <w:proofErr w:type="spellEnd"/>
      <w:r w:rsidRPr="00EE3FD3">
        <w:rPr>
          <w:rFonts w:ascii="Arial" w:hAnsi="Arial" w:cs="Arial"/>
          <w:sz w:val="20"/>
        </w:rPr>
        <w:t xml:space="preserve"> status </w:t>
      </w:r>
      <w:r w:rsidRPr="00EE3FD3">
        <w:rPr>
          <w:rFonts w:ascii="Arial" w:hAnsi="Arial" w:cs="Arial"/>
          <w:sz w:val="20"/>
        </w:rPr>
        <w:t>using droplet digital PCR (</w:t>
      </w:r>
      <w:proofErr w:type="spellStart"/>
      <w:r w:rsidRPr="00EE3FD3">
        <w:rPr>
          <w:rFonts w:ascii="Arial" w:hAnsi="Arial" w:cs="Arial"/>
          <w:sz w:val="20"/>
        </w:rPr>
        <w:t>ddPCR</w:t>
      </w:r>
      <w:proofErr w:type="spellEnd"/>
      <w:r w:rsidRPr="00EE3FD3">
        <w:rPr>
          <w:rFonts w:ascii="Arial" w:hAnsi="Arial" w:cs="Arial"/>
          <w:sz w:val="20"/>
        </w:rPr>
        <w:t xml:space="preserve">, Bio-Rad) assays to amplify viral gene </w:t>
      </w:r>
      <w:r w:rsidRPr="00EE3FD3">
        <w:rPr>
          <w:rFonts w:ascii="Arial" w:hAnsi="Arial" w:cs="Arial"/>
          <w:i/>
          <w:sz w:val="20"/>
        </w:rPr>
        <w:t>LTA</w:t>
      </w:r>
      <w:r w:rsidRPr="00EE3FD3">
        <w:rPr>
          <w:rFonts w:ascii="Arial" w:hAnsi="Arial" w:cs="Arial"/>
          <w:sz w:val="20"/>
        </w:rPr>
        <w:t xml:space="preserve"> in parallel with a viral protein immunohistochemistry (IHC) assay using the commercial CM2B4 antibody. Each MCC was therefore determined to be Virus positive or Virus negative.</w:t>
      </w:r>
    </w:p>
    <w:p w:rsidR="004F6BFD" w:rsidRPr="00EE3FD3" w:rsidRDefault="00EE3FD3">
      <w:pPr>
        <w:rPr>
          <w:rFonts w:ascii="Arial" w:hAnsi="Arial" w:cs="Arial"/>
        </w:rPr>
      </w:pPr>
      <w:r w:rsidRPr="00EE3FD3">
        <w:rPr>
          <w:rFonts w:ascii="Arial" w:hAnsi="Arial" w:cs="Arial"/>
          <w:sz w:val="20"/>
        </w:rPr>
        <w:t>Res</w:t>
      </w:r>
      <w:r w:rsidRPr="00EE3FD3">
        <w:rPr>
          <w:rFonts w:ascii="Arial" w:hAnsi="Arial" w:cs="Arial"/>
          <w:sz w:val="20"/>
        </w:rPr>
        <w:t>ults: Viral positivity was observed in 29% (31/106) of patients. Virus negative MCC occurred more often in men (62.7%, P = &lt;0.024). Virus</w:t>
      </w:r>
      <w:r w:rsidRPr="00EE3FD3">
        <w:rPr>
          <w:rFonts w:ascii="Arial" w:hAnsi="Arial" w:cs="Arial"/>
          <w:i/>
          <w:sz w:val="20"/>
        </w:rPr>
        <w:t xml:space="preserve"> </w:t>
      </w:r>
      <w:r w:rsidRPr="00EE3FD3">
        <w:rPr>
          <w:rFonts w:ascii="Arial" w:hAnsi="Arial" w:cs="Arial"/>
          <w:sz w:val="20"/>
        </w:rPr>
        <w:t>negative primary tumours were more common on the head and neck (53.3%, P = &lt;0.0001). Some staging was conducted for 66</w:t>
      </w:r>
      <w:r w:rsidRPr="00EE3FD3">
        <w:rPr>
          <w:rFonts w:ascii="Arial" w:hAnsi="Arial" w:cs="Arial"/>
          <w:sz w:val="20"/>
        </w:rPr>
        <w:t xml:space="preserve"> cases; virus negative cases were more often metastatic at diagnosis; of the cases where staging was conducted 8 (18.6%) had distant metastases at diagnosis compared with none of the virus positive patients. Median overall survival was consistently shorter</w:t>
      </w:r>
      <w:r w:rsidRPr="00EE3FD3">
        <w:rPr>
          <w:rFonts w:ascii="Arial" w:hAnsi="Arial" w:cs="Arial"/>
          <w:sz w:val="20"/>
        </w:rPr>
        <w:t xml:space="preserve"> for virus negative cases than virus positive cases, with lack of viral load associated with decreased survival (HR = 1.8, P = 0.015). Viral status was not associated with age at diagnosis. </w:t>
      </w:r>
    </w:p>
    <w:p w:rsidR="004F6BFD" w:rsidRPr="00EE3FD3" w:rsidRDefault="00EE3FD3">
      <w:pPr>
        <w:rPr>
          <w:rFonts w:ascii="Arial" w:hAnsi="Arial" w:cs="Arial"/>
        </w:rPr>
      </w:pPr>
      <w:r w:rsidRPr="00EE3FD3">
        <w:rPr>
          <w:rFonts w:ascii="Arial" w:hAnsi="Arial" w:cs="Arial"/>
          <w:sz w:val="20"/>
        </w:rPr>
        <w:t>Conclusions: This is the largest study of MCC patients in New Zea</w:t>
      </w:r>
      <w:r w:rsidRPr="00EE3FD3">
        <w:rPr>
          <w:rFonts w:ascii="Arial" w:hAnsi="Arial" w:cs="Arial"/>
          <w:sz w:val="20"/>
        </w:rPr>
        <w:t xml:space="preserve">land, and the first examining </w:t>
      </w:r>
      <w:proofErr w:type="spellStart"/>
      <w:r w:rsidRPr="00EE3FD3">
        <w:rPr>
          <w:rFonts w:ascii="Arial" w:hAnsi="Arial" w:cs="Arial"/>
          <w:sz w:val="20"/>
        </w:rPr>
        <w:t>MCPyV</w:t>
      </w:r>
      <w:proofErr w:type="spellEnd"/>
      <w:r w:rsidRPr="00EE3FD3">
        <w:rPr>
          <w:rFonts w:ascii="Arial" w:hAnsi="Arial" w:cs="Arial"/>
          <w:sz w:val="20"/>
        </w:rPr>
        <w:t xml:space="preserve"> status. Analysis suggests that in NZ, as in Australia, a minority of MCC are driven by the </w:t>
      </w:r>
      <w:proofErr w:type="spellStart"/>
      <w:r w:rsidRPr="00EE3FD3">
        <w:rPr>
          <w:rFonts w:ascii="Arial" w:hAnsi="Arial" w:cs="Arial"/>
          <w:sz w:val="20"/>
        </w:rPr>
        <w:t>MCPyV</w:t>
      </w:r>
      <w:proofErr w:type="spellEnd"/>
      <w:r w:rsidRPr="00EE3FD3">
        <w:rPr>
          <w:rFonts w:ascii="Arial" w:hAnsi="Arial" w:cs="Arial"/>
          <w:sz w:val="20"/>
        </w:rPr>
        <w:t xml:space="preserve"> virus. UV exposure is an alternative explanation for NZ MCC and supported by the primary tumour site. Outcomes for virus ne</w:t>
      </w:r>
      <w:r w:rsidRPr="00EE3FD3">
        <w:rPr>
          <w:rFonts w:ascii="Arial" w:hAnsi="Arial" w:cs="Arial"/>
          <w:sz w:val="20"/>
        </w:rPr>
        <w:t xml:space="preserve">gative patients and therefore NZ patients overall with MCC is poorer, and testing samples for </w:t>
      </w:r>
      <w:proofErr w:type="spellStart"/>
      <w:r w:rsidRPr="00EE3FD3">
        <w:rPr>
          <w:rFonts w:ascii="Arial" w:hAnsi="Arial" w:cs="Arial"/>
          <w:sz w:val="20"/>
        </w:rPr>
        <w:t>MCPyV</w:t>
      </w:r>
      <w:proofErr w:type="spellEnd"/>
      <w:r w:rsidRPr="00EE3FD3">
        <w:rPr>
          <w:rFonts w:ascii="Arial" w:hAnsi="Arial" w:cs="Arial"/>
          <w:sz w:val="20"/>
        </w:rPr>
        <w:t xml:space="preserve"> status at diagnosis would be prognostic. Our dataset provides a valuable resource of clinically annotated tissue that we will use to continue our research i</w:t>
      </w:r>
      <w:r w:rsidRPr="00EE3FD3">
        <w:rPr>
          <w:rFonts w:ascii="Arial" w:hAnsi="Arial" w:cs="Arial"/>
          <w:sz w:val="20"/>
        </w:rPr>
        <w:t xml:space="preserve">nto MCC in New Zealand. </w:t>
      </w:r>
    </w:p>
    <w:p w:rsidR="004F6BFD" w:rsidRPr="00EE3FD3" w:rsidRDefault="004F6BFD">
      <w:pPr>
        <w:rPr>
          <w:rFonts w:ascii="Arial" w:hAnsi="Arial" w:cs="Arial"/>
          <w:sz w:val="20"/>
        </w:rPr>
      </w:pPr>
    </w:p>
    <w:p w:rsidR="004F6BFD" w:rsidRPr="00EE3FD3" w:rsidRDefault="004F6BFD">
      <w:pPr>
        <w:rPr>
          <w:rFonts w:ascii="Arial" w:hAnsi="Arial" w:cs="Arial"/>
          <w:sz w:val="20"/>
        </w:rPr>
        <w:sectPr w:rsidR="004F6BFD" w:rsidRPr="00EE3FD3">
          <w:pgSz w:w="12240" w:h="15840"/>
          <w:pgMar w:top="1133" w:right="850" w:bottom="1133" w:left="1700" w:header="708" w:footer="708" w:gutter="0"/>
          <w:cols w:space="720"/>
        </w:sectPr>
      </w:pPr>
    </w:p>
    <w:p w:rsidR="004F6BFD" w:rsidRPr="00EE3FD3" w:rsidRDefault="004F6BFD">
      <w:pPr>
        <w:rPr>
          <w:rFonts w:ascii="Arial" w:hAnsi="Arial" w:cs="Arial"/>
          <w:sz w:val="20"/>
        </w:rPr>
      </w:pPr>
    </w:p>
    <w:p w:rsidR="004F6BFD" w:rsidRPr="00EE3FD3" w:rsidRDefault="00EE3FD3">
      <w:pPr>
        <w:pStyle w:val="AbstractBookSessionDetails"/>
        <w:rPr>
          <w:rFonts w:ascii="Arial" w:hAnsi="Arial" w:cs="Arial"/>
          <w:sz w:val="20"/>
        </w:rPr>
      </w:pPr>
      <w:r w:rsidRPr="00EE3FD3">
        <w:rPr>
          <w:rFonts w:ascii="Arial" w:hAnsi="Arial" w:cs="Arial"/>
          <w:sz w:val="20"/>
        </w:rPr>
        <w:t>Session five, August 25, 2018, 9:00 AM - 10:40 AM</w:t>
      </w:r>
    </w:p>
    <w:p w:rsidR="004F6BFD" w:rsidRPr="00EE3FD3" w:rsidRDefault="004F6BFD">
      <w:pPr>
        <w:pStyle w:val="AbstractBookBaseParagraph"/>
        <w:rPr>
          <w:rFonts w:ascii="Arial" w:hAnsi="Arial" w:cs="Arial"/>
          <w:sz w:val="20"/>
        </w:rPr>
      </w:pPr>
    </w:p>
    <w:p w:rsidR="004F6BFD" w:rsidRPr="00EE3FD3" w:rsidRDefault="00EE3FD3">
      <w:pPr>
        <w:spacing w:after="240"/>
        <w:rPr>
          <w:rFonts w:ascii="Arial" w:hAnsi="Arial" w:cs="Arial"/>
          <w:b/>
          <w:sz w:val="24"/>
        </w:rPr>
      </w:pPr>
      <w:r w:rsidRPr="00EE3FD3">
        <w:rPr>
          <w:rFonts w:ascii="Arial" w:hAnsi="Arial" w:cs="Arial"/>
          <w:b/>
          <w:sz w:val="24"/>
        </w:rPr>
        <w:t xml:space="preserve">Identification of MRP2 as a targetable factor limiting </w:t>
      </w:r>
      <w:proofErr w:type="spellStart"/>
      <w:r w:rsidRPr="00EE3FD3">
        <w:rPr>
          <w:rFonts w:ascii="Arial" w:hAnsi="Arial" w:cs="Arial"/>
          <w:b/>
          <w:sz w:val="24"/>
        </w:rPr>
        <w:t>oxaliplatin</w:t>
      </w:r>
      <w:proofErr w:type="spellEnd"/>
      <w:r w:rsidRPr="00EE3FD3">
        <w:rPr>
          <w:rFonts w:ascii="Arial" w:hAnsi="Arial" w:cs="Arial"/>
          <w:b/>
          <w:sz w:val="24"/>
        </w:rPr>
        <w:t xml:space="preserve"> accumulation and response in gastrointestinal cancer</w:t>
      </w:r>
    </w:p>
    <w:p w:rsidR="004F6BFD" w:rsidRPr="00EE3FD3" w:rsidRDefault="00EE3FD3">
      <w:pPr>
        <w:spacing w:after="240"/>
        <w:rPr>
          <w:rFonts w:ascii="Arial" w:hAnsi="Arial" w:cs="Arial"/>
          <w:sz w:val="20"/>
          <w:vertAlign w:val="superscript"/>
        </w:rPr>
      </w:pPr>
      <w:r w:rsidRPr="00EE3FD3">
        <w:rPr>
          <w:rFonts w:ascii="Arial" w:hAnsi="Arial" w:cs="Arial"/>
          <w:b/>
          <w:sz w:val="20"/>
        </w:rPr>
        <w:t>Li, Yan</w:t>
      </w:r>
      <w:r w:rsidRPr="00EE3FD3">
        <w:rPr>
          <w:rFonts w:ascii="Arial" w:hAnsi="Arial" w:cs="Arial"/>
          <w:sz w:val="20"/>
          <w:vertAlign w:val="superscript"/>
        </w:rPr>
        <w:t>1</w:t>
      </w:r>
      <w:r w:rsidRPr="00EE3FD3">
        <w:rPr>
          <w:rFonts w:ascii="Arial" w:hAnsi="Arial" w:cs="Arial"/>
          <w:sz w:val="20"/>
        </w:rPr>
        <w:t xml:space="preserve">, </w:t>
      </w:r>
      <w:proofErr w:type="spellStart"/>
      <w:r w:rsidRPr="00EE3FD3">
        <w:rPr>
          <w:rFonts w:ascii="Arial" w:hAnsi="Arial" w:cs="Arial"/>
          <w:sz w:val="20"/>
        </w:rPr>
        <w:t>Myint</w:t>
      </w:r>
      <w:proofErr w:type="spellEnd"/>
      <w:r w:rsidRPr="00EE3FD3">
        <w:rPr>
          <w:rFonts w:ascii="Arial" w:hAnsi="Arial" w:cs="Arial"/>
          <w:sz w:val="20"/>
        </w:rPr>
        <w:t>, Khine</w:t>
      </w:r>
      <w:r w:rsidRPr="00EE3FD3">
        <w:rPr>
          <w:rFonts w:ascii="Arial" w:hAnsi="Arial" w:cs="Arial"/>
          <w:sz w:val="20"/>
          <w:vertAlign w:val="superscript"/>
        </w:rPr>
        <w:t>2</w:t>
      </w:r>
      <w:r w:rsidRPr="00EE3FD3">
        <w:rPr>
          <w:rFonts w:ascii="Arial" w:hAnsi="Arial" w:cs="Arial"/>
          <w:sz w:val="20"/>
        </w:rPr>
        <w:t>, Biswas, Riya</w:t>
      </w:r>
      <w:r w:rsidRPr="00EE3FD3">
        <w:rPr>
          <w:rFonts w:ascii="Arial" w:hAnsi="Arial" w:cs="Arial"/>
          <w:sz w:val="20"/>
          <w:vertAlign w:val="superscript"/>
        </w:rPr>
        <w:t>1</w:t>
      </w:r>
      <w:r w:rsidRPr="00EE3FD3">
        <w:rPr>
          <w:rFonts w:ascii="Arial" w:hAnsi="Arial" w:cs="Arial"/>
          <w:sz w:val="20"/>
        </w:rPr>
        <w:t xml:space="preserve">, </w:t>
      </w:r>
      <w:r w:rsidRPr="00EE3FD3">
        <w:rPr>
          <w:rFonts w:ascii="Arial" w:hAnsi="Arial" w:cs="Arial"/>
          <w:sz w:val="20"/>
        </w:rPr>
        <w:t>Jong, Nancy</w:t>
      </w:r>
      <w:r w:rsidRPr="00EE3FD3">
        <w:rPr>
          <w:rFonts w:ascii="Arial" w:hAnsi="Arial" w:cs="Arial"/>
          <w:sz w:val="20"/>
          <w:vertAlign w:val="superscript"/>
        </w:rPr>
        <w:t>2</w:t>
      </w:r>
      <w:r w:rsidRPr="00EE3FD3">
        <w:rPr>
          <w:rFonts w:ascii="Arial" w:hAnsi="Arial" w:cs="Arial"/>
          <w:sz w:val="20"/>
        </w:rPr>
        <w:t>, Jamieson, Stephen</w:t>
      </w:r>
      <w:r w:rsidRPr="00EE3FD3">
        <w:rPr>
          <w:rFonts w:ascii="Arial" w:hAnsi="Arial" w:cs="Arial"/>
          <w:sz w:val="20"/>
          <w:vertAlign w:val="superscript"/>
        </w:rPr>
        <w:t>2</w:t>
      </w:r>
      <w:r w:rsidRPr="00EE3FD3">
        <w:rPr>
          <w:rFonts w:ascii="Arial" w:hAnsi="Arial" w:cs="Arial"/>
          <w:sz w:val="20"/>
        </w:rPr>
        <w:t>, Liu, Johnson</w:t>
      </w:r>
      <w:r w:rsidRPr="00EE3FD3">
        <w:rPr>
          <w:rFonts w:ascii="Arial" w:hAnsi="Arial" w:cs="Arial"/>
          <w:sz w:val="20"/>
          <w:vertAlign w:val="superscript"/>
        </w:rPr>
        <w:t>3</w:t>
      </w:r>
      <w:r w:rsidRPr="00EE3FD3">
        <w:rPr>
          <w:rFonts w:ascii="Arial" w:hAnsi="Arial" w:cs="Arial"/>
          <w:sz w:val="20"/>
        </w:rPr>
        <w:t>, Han, Catherine</w:t>
      </w:r>
      <w:r w:rsidRPr="00EE3FD3">
        <w:rPr>
          <w:rFonts w:ascii="Arial" w:hAnsi="Arial" w:cs="Arial"/>
          <w:sz w:val="20"/>
          <w:vertAlign w:val="superscript"/>
        </w:rPr>
        <w:t>2</w:t>
      </w:r>
      <w:r w:rsidRPr="00EE3FD3">
        <w:rPr>
          <w:rFonts w:ascii="Arial" w:hAnsi="Arial" w:cs="Arial"/>
          <w:sz w:val="20"/>
        </w:rPr>
        <w:t>, Squire, Christopher</w:t>
      </w:r>
      <w:r w:rsidRPr="00EE3FD3">
        <w:rPr>
          <w:rFonts w:ascii="Arial" w:hAnsi="Arial" w:cs="Arial"/>
          <w:sz w:val="20"/>
          <w:vertAlign w:val="superscript"/>
        </w:rPr>
        <w:t>2</w:t>
      </w:r>
      <w:r w:rsidRPr="00EE3FD3">
        <w:rPr>
          <w:rFonts w:ascii="Arial" w:hAnsi="Arial" w:cs="Arial"/>
          <w:sz w:val="20"/>
        </w:rPr>
        <w:t xml:space="preserve">, </w:t>
      </w:r>
      <w:proofErr w:type="spellStart"/>
      <w:r w:rsidRPr="00EE3FD3">
        <w:rPr>
          <w:rFonts w:ascii="Arial" w:hAnsi="Arial" w:cs="Arial"/>
          <w:sz w:val="20"/>
          <w:lang w:val="en-US"/>
        </w:rPr>
        <w:t>Merien</w:t>
      </w:r>
      <w:proofErr w:type="spellEnd"/>
      <w:r w:rsidRPr="00EE3FD3">
        <w:rPr>
          <w:rFonts w:ascii="Arial" w:hAnsi="Arial" w:cs="Arial"/>
          <w:sz w:val="20"/>
          <w:lang w:val="en-US"/>
        </w:rPr>
        <w:t>, Fabrice</w:t>
      </w:r>
      <w:r w:rsidRPr="00EE3FD3">
        <w:rPr>
          <w:rFonts w:ascii="Arial" w:hAnsi="Arial" w:cs="Arial"/>
          <w:sz w:val="20"/>
          <w:vertAlign w:val="superscript"/>
          <w:lang w:val="en-US"/>
        </w:rPr>
        <w:t>1</w:t>
      </w:r>
      <w:r w:rsidRPr="00EE3FD3">
        <w:rPr>
          <w:rFonts w:ascii="Arial" w:hAnsi="Arial" w:cs="Arial"/>
          <w:sz w:val="20"/>
          <w:lang w:val="en-US"/>
        </w:rPr>
        <w:t>, Lu, Jun</w:t>
      </w:r>
      <w:r w:rsidRPr="00EE3FD3">
        <w:rPr>
          <w:rFonts w:ascii="Arial" w:hAnsi="Arial" w:cs="Arial"/>
          <w:sz w:val="20"/>
          <w:vertAlign w:val="superscript"/>
          <w:lang w:val="en-US"/>
        </w:rPr>
        <w:t>1</w:t>
      </w:r>
      <w:r w:rsidRPr="00EE3FD3">
        <w:rPr>
          <w:rFonts w:ascii="Arial" w:hAnsi="Arial" w:cs="Arial"/>
          <w:sz w:val="20"/>
        </w:rPr>
        <w:t>, Nakanishi, Takeo</w:t>
      </w:r>
      <w:r w:rsidRPr="00EE3FD3">
        <w:rPr>
          <w:rFonts w:ascii="Arial" w:hAnsi="Arial" w:cs="Arial"/>
          <w:sz w:val="20"/>
          <w:vertAlign w:val="superscript"/>
        </w:rPr>
        <w:t>4</w:t>
      </w:r>
      <w:r w:rsidRPr="00EE3FD3">
        <w:rPr>
          <w:rFonts w:ascii="Arial" w:hAnsi="Arial" w:cs="Arial"/>
          <w:sz w:val="20"/>
          <w:lang w:val="en-US"/>
        </w:rPr>
        <w:t xml:space="preserve">, </w:t>
      </w:r>
      <w:proofErr w:type="spellStart"/>
      <w:r w:rsidRPr="00EE3FD3">
        <w:rPr>
          <w:rFonts w:ascii="Arial" w:hAnsi="Arial" w:cs="Arial"/>
          <w:sz w:val="20"/>
        </w:rPr>
        <w:t>Tamai</w:t>
      </w:r>
      <w:proofErr w:type="spellEnd"/>
      <w:r w:rsidRPr="00EE3FD3">
        <w:rPr>
          <w:rFonts w:ascii="Arial" w:hAnsi="Arial" w:cs="Arial"/>
          <w:sz w:val="20"/>
        </w:rPr>
        <w:t>, Ikumi</w:t>
      </w:r>
      <w:r w:rsidRPr="00EE3FD3">
        <w:rPr>
          <w:rFonts w:ascii="Arial" w:hAnsi="Arial" w:cs="Arial"/>
          <w:sz w:val="20"/>
          <w:vertAlign w:val="superscript"/>
        </w:rPr>
        <w:t>4</w:t>
      </w:r>
      <w:r w:rsidRPr="00EE3FD3">
        <w:rPr>
          <w:rFonts w:ascii="Arial" w:hAnsi="Arial" w:cs="Arial"/>
          <w:sz w:val="20"/>
        </w:rPr>
        <w:t>, McKeage, Mark</w:t>
      </w:r>
      <w:r w:rsidRPr="00EE3FD3">
        <w:rPr>
          <w:rFonts w:ascii="Arial" w:hAnsi="Arial" w:cs="Arial"/>
          <w:sz w:val="20"/>
          <w:vertAlign w:val="superscript"/>
        </w:rPr>
        <w:t>2</w:t>
      </w:r>
    </w:p>
    <w:p w:rsidR="004F6BFD" w:rsidRPr="00EE3FD3" w:rsidRDefault="00EE3FD3">
      <w:pPr>
        <w:rPr>
          <w:rFonts w:ascii="Arial" w:hAnsi="Arial" w:cs="Arial"/>
          <w:i/>
          <w:sz w:val="20"/>
          <w:lang w:val="en-US"/>
        </w:rPr>
      </w:pPr>
      <w:r w:rsidRPr="00EE3FD3">
        <w:rPr>
          <w:rFonts w:ascii="Arial" w:hAnsi="Arial" w:cs="Arial"/>
          <w:i/>
          <w:sz w:val="20"/>
          <w:vertAlign w:val="superscript"/>
          <w:lang w:val="en-US"/>
        </w:rPr>
        <w:t>1</w:t>
      </w:r>
      <w:r w:rsidRPr="00EE3FD3">
        <w:rPr>
          <w:rFonts w:ascii="Arial" w:hAnsi="Arial" w:cs="Arial"/>
          <w:i/>
          <w:sz w:val="20"/>
          <w:lang w:val="en-US"/>
        </w:rPr>
        <w:t>Auckland University of Technology, Auckland, New Zealand</w:t>
      </w:r>
    </w:p>
    <w:p w:rsidR="004F6BFD" w:rsidRPr="00EE3FD3" w:rsidRDefault="00EE3FD3">
      <w:pPr>
        <w:rPr>
          <w:rFonts w:ascii="Arial" w:hAnsi="Arial" w:cs="Arial"/>
          <w:i/>
          <w:sz w:val="20"/>
          <w:lang w:val="en-US"/>
        </w:rPr>
      </w:pPr>
      <w:r w:rsidRPr="00EE3FD3">
        <w:rPr>
          <w:rFonts w:ascii="Arial" w:hAnsi="Arial" w:cs="Arial"/>
          <w:i/>
          <w:sz w:val="20"/>
          <w:vertAlign w:val="superscript"/>
          <w:lang w:val="en-US"/>
        </w:rPr>
        <w:t>2</w:t>
      </w:r>
      <w:r w:rsidRPr="00EE3FD3">
        <w:rPr>
          <w:rFonts w:ascii="Arial" w:hAnsi="Arial" w:cs="Arial"/>
          <w:i/>
          <w:sz w:val="20"/>
          <w:lang w:val="en-US"/>
        </w:rPr>
        <w:t>University of Auckland, Auckland</w:t>
      </w:r>
      <w:r w:rsidRPr="00EE3FD3">
        <w:rPr>
          <w:rFonts w:ascii="Arial" w:hAnsi="Arial" w:cs="Arial"/>
          <w:i/>
          <w:sz w:val="20"/>
          <w:lang w:val="en-US"/>
        </w:rPr>
        <w:t>, New Zealand</w:t>
      </w:r>
    </w:p>
    <w:p w:rsidR="004F6BFD" w:rsidRPr="00EE3FD3" w:rsidRDefault="00EE3FD3">
      <w:pPr>
        <w:rPr>
          <w:rFonts w:ascii="Arial" w:hAnsi="Arial" w:cs="Arial"/>
          <w:i/>
          <w:sz w:val="20"/>
          <w:lang w:val="en-US"/>
        </w:rPr>
      </w:pPr>
      <w:r w:rsidRPr="00EE3FD3">
        <w:rPr>
          <w:rFonts w:ascii="Arial" w:hAnsi="Arial" w:cs="Arial"/>
          <w:i/>
          <w:sz w:val="20"/>
          <w:vertAlign w:val="superscript"/>
          <w:lang w:val="en-US"/>
        </w:rPr>
        <w:t>3</w:t>
      </w:r>
      <w:r w:rsidRPr="00EE3FD3">
        <w:rPr>
          <w:rFonts w:ascii="Arial" w:hAnsi="Arial" w:cs="Arial"/>
          <w:i/>
          <w:sz w:val="20"/>
          <w:lang w:val="en-US"/>
        </w:rPr>
        <w:t>University of New South Wales, Sydney, NSW, Australia</w:t>
      </w:r>
    </w:p>
    <w:p w:rsidR="004F6BFD" w:rsidRPr="00EE3FD3" w:rsidRDefault="00EE3FD3">
      <w:pPr>
        <w:spacing w:after="240"/>
        <w:rPr>
          <w:rFonts w:ascii="Arial" w:hAnsi="Arial" w:cs="Arial"/>
          <w:i/>
          <w:sz w:val="20"/>
          <w:lang w:val="en-US"/>
        </w:rPr>
      </w:pPr>
      <w:r w:rsidRPr="00EE3FD3">
        <w:rPr>
          <w:rFonts w:ascii="Arial" w:hAnsi="Arial" w:cs="Arial"/>
          <w:i/>
          <w:sz w:val="20"/>
          <w:vertAlign w:val="superscript"/>
          <w:lang w:val="en-US"/>
        </w:rPr>
        <w:t>4</w:t>
      </w:r>
      <w:r w:rsidRPr="00EE3FD3">
        <w:rPr>
          <w:rFonts w:ascii="Arial" w:hAnsi="Arial" w:cs="Arial"/>
          <w:i/>
          <w:sz w:val="20"/>
          <w:lang w:val="en-US"/>
        </w:rPr>
        <w:t xml:space="preserve">Kanazawa University, </w:t>
      </w:r>
      <w:proofErr w:type="spellStart"/>
      <w:r w:rsidRPr="00EE3FD3">
        <w:rPr>
          <w:rFonts w:ascii="Arial" w:hAnsi="Arial" w:cs="Arial"/>
          <w:i/>
          <w:sz w:val="20"/>
          <w:lang w:val="en-US"/>
        </w:rPr>
        <w:t>Kakuma-machi</w:t>
      </w:r>
      <w:proofErr w:type="spellEnd"/>
      <w:r w:rsidRPr="00EE3FD3">
        <w:rPr>
          <w:rFonts w:ascii="Arial" w:hAnsi="Arial" w:cs="Arial"/>
          <w:i/>
          <w:sz w:val="20"/>
          <w:lang w:val="en-US"/>
        </w:rPr>
        <w:t>, Kanazawa, Japan</w:t>
      </w:r>
    </w:p>
    <w:p w:rsidR="004F6BFD" w:rsidRPr="00EE3FD3" w:rsidRDefault="00EE3FD3">
      <w:pPr>
        <w:spacing w:after="240"/>
        <w:rPr>
          <w:rFonts w:ascii="Arial" w:hAnsi="Arial" w:cs="Arial"/>
          <w:sz w:val="20"/>
        </w:rPr>
      </w:pPr>
      <w:proofErr w:type="spellStart"/>
      <w:r w:rsidRPr="00EE3FD3">
        <w:rPr>
          <w:rFonts w:ascii="Arial" w:hAnsi="Arial" w:cs="Arial"/>
          <w:sz w:val="20"/>
        </w:rPr>
        <w:t>Oxaliplatin</w:t>
      </w:r>
      <w:proofErr w:type="spellEnd"/>
      <w:r w:rsidRPr="00EE3FD3">
        <w:rPr>
          <w:rFonts w:ascii="Arial" w:hAnsi="Arial" w:cs="Arial"/>
          <w:sz w:val="20"/>
        </w:rPr>
        <w:t xml:space="preserve"> is important for the clinical treatment of colorectal cancer and other gastrointestinal malignancies, but tumour resistance</w:t>
      </w:r>
      <w:r w:rsidRPr="00EE3FD3">
        <w:rPr>
          <w:rFonts w:ascii="Arial" w:hAnsi="Arial" w:cs="Arial"/>
          <w:sz w:val="20"/>
        </w:rPr>
        <w:t xml:space="preserve"> is limiting. Several </w:t>
      </w:r>
      <w:proofErr w:type="spellStart"/>
      <w:r w:rsidRPr="00EE3FD3">
        <w:rPr>
          <w:rFonts w:ascii="Arial" w:hAnsi="Arial" w:cs="Arial"/>
          <w:sz w:val="20"/>
        </w:rPr>
        <w:t>oxaliplatin</w:t>
      </w:r>
      <w:proofErr w:type="spellEnd"/>
      <w:r w:rsidRPr="00EE3FD3">
        <w:rPr>
          <w:rFonts w:ascii="Arial" w:hAnsi="Arial" w:cs="Arial"/>
          <w:sz w:val="20"/>
        </w:rPr>
        <w:t xml:space="preserve"> transporters have been previously identified but their relative contributions to determining </w:t>
      </w:r>
      <w:proofErr w:type="spellStart"/>
      <w:r w:rsidRPr="00EE3FD3">
        <w:rPr>
          <w:rFonts w:ascii="Arial" w:hAnsi="Arial" w:cs="Arial"/>
          <w:sz w:val="20"/>
        </w:rPr>
        <w:t>oxaliplatin</w:t>
      </w:r>
      <w:proofErr w:type="spellEnd"/>
      <w:r w:rsidRPr="00EE3FD3">
        <w:rPr>
          <w:rFonts w:ascii="Arial" w:hAnsi="Arial" w:cs="Arial"/>
          <w:sz w:val="20"/>
        </w:rPr>
        <w:t xml:space="preserve"> tumour responses and gastrointestinal tumour cell sensitivity to </w:t>
      </w:r>
      <w:proofErr w:type="spellStart"/>
      <w:r w:rsidRPr="00EE3FD3">
        <w:rPr>
          <w:rFonts w:ascii="Arial" w:hAnsi="Arial" w:cs="Arial"/>
          <w:sz w:val="20"/>
        </w:rPr>
        <w:t>oxaliplatin</w:t>
      </w:r>
      <w:proofErr w:type="spellEnd"/>
      <w:r w:rsidRPr="00EE3FD3">
        <w:rPr>
          <w:rFonts w:ascii="Arial" w:hAnsi="Arial" w:cs="Arial"/>
          <w:sz w:val="20"/>
        </w:rPr>
        <w:t xml:space="preserve"> remains unclear. We studied clinical ass</w:t>
      </w:r>
      <w:r w:rsidRPr="00EE3FD3">
        <w:rPr>
          <w:rFonts w:ascii="Arial" w:hAnsi="Arial" w:cs="Arial"/>
          <w:sz w:val="20"/>
        </w:rPr>
        <w:t xml:space="preserve">ociations between tumour expression of </w:t>
      </w:r>
      <w:proofErr w:type="spellStart"/>
      <w:r w:rsidRPr="00EE3FD3">
        <w:rPr>
          <w:rFonts w:ascii="Arial" w:hAnsi="Arial" w:cs="Arial"/>
          <w:sz w:val="20"/>
        </w:rPr>
        <w:t>oxaliplatin</w:t>
      </w:r>
      <w:proofErr w:type="spellEnd"/>
      <w:r w:rsidRPr="00EE3FD3">
        <w:rPr>
          <w:rFonts w:ascii="Arial" w:hAnsi="Arial" w:cs="Arial"/>
          <w:sz w:val="20"/>
        </w:rPr>
        <w:t xml:space="preserve"> transporter candidate genes and patient response to </w:t>
      </w:r>
      <w:proofErr w:type="spellStart"/>
      <w:r w:rsidRPr="00EE3FD3">
        <w:rPr>
          <w:rFonts w:ascii="Arial" w:hAnsi="Arial" w:cs="Arial"/>
          <w:sz w:val="20"/>
        </w:rPr>
        <w:t>oxaliplatin</w:t>
      </w:r>
      <w:proofErr w:type="spellEnd"/>
      <w:r w:rsidRPr="00EE3FD3">
        <w:rPr>
          <w:rFonts w:ascii="Arial" w:hAnsi="Arial" w:cs="Arial"/>
          <w:sz w:val="20"/>
        </w:rPr>
        <w:t xml:space="preserve">, then experimentally verified associations found with MRP2 in models of human gastrointestinal cancer. Among 18 </w:t>
      </w:r>
      <w:proofErr w:type="spellStart"/>
      <w:r w:rsidRPr="00EE3FD3">
        <w:rPr>
          <w:rFonts w:ascii="Arial" w:hAnsi="Arial" w:cs="Arial"/>
          <w:sz w:val="20"/>
        </w:rPr>
        <w:t>oxaliplatin</w:t>
      </w:r>
      <w:proofErr w:type="spellEnd"/>
      <w:r w:rsidRPr="00EE3FD3">
        <w:rPr>
          <w:rFonts w:ascii="Arial" w:hAnsi="Arial" w:cs="Arial"/>
          <w:sz w:val="20"/>
        </w:rPr>
        <w:t xml:space="preserve"> transporter candi</w:t>
      </w:r>
      <w:r w:rsidRPr="00EE3FD3">
        <w:rPr>
          <w:rFonts w:ascii="Arial" w:hAnsi="Arial" w:cs="Arial"/>
          <w:sz w:val="20"/>
        </w:rPr>
        <w:t>date genes, MRP2 was the only one to be differentially expressed in the tumours of colorectal cancer patients who did or did not respond to FOLFOX chemotherapy. Over-expression of MRP2 (endogenously in HepG2 and PANC-1 cells or induced by stable transfecti</w:t>
      </w:r>
      <w:r w:rsidRPr="00EE3FD3">
        <w:rPr>
          <w:rFonts w:ascii="Arial" w:hAnsi="Arial" w:cs="Arial"/>
          <w:sz w:val="20"/>
        </w:rPr>
        <w:t xml:space="preserve">on of HEK293 cells) decreased </w:t>
      </w:r>
      <w:proofErr w:type="spellStart"/>
      <w:r w:rsidRPr="00EE3FD3">
        <w:rPr>
          <w:rFonts w:ascii="Arial" w:hAnsi="Arial" w:cs="Arial"/>
          <w:sz w:val="20"/>
        </w:rPr>
        <w:t>oxaliplatin</w:t>
      </w:r>
      <w:proofErr w:type="spellEnd"/>
      <w:r w:rsidRPr="00EE3FD3">
        <w:rPr>
          <w:rFonts w:ascii="Arial" w:hAnsi="Arial" w:cs="Arial"/>
          <w:sz w:val="20"/>
        </w:rPr>
        <w:t xml:space="preserve"> accumulation and cytotoxicity but those deficits were reversed by inhibition of MRP2 with </w:t>
      </w:r>
      <w:proofErr w:type="spellStart"/>
      <w:r w:rsidRPr="00EE3FD3">
        <w:rPr>
          <w:rFonts w:ascii="Arial" w:hAnsi="Arial" w:cs="Arial"/>
          <w:sz w:val="20"/>
        </w:rPr>
        <w:t>myricetin</w:t>
      </w:r>
      <w:proofErr w:type="spellEnd"/>
      <w:r w:rsidRPr="00EE3FD3">
        <w:rPr>
          <w:rFonts w:ascii="Arial" w:hAnsi="Arial" w:cs="Arial"/>
          <w:sz w:val="20"/>
        </w:rPr>
        <w:t xml:space="preserve"> or siRNA knockdown. Mice bearing subcutaneous HepG2 tumour xenografts were sensitised to </w:t>
      </w:r>
      <w:proofErr w:type="spellStart"/>
      <w:r w:rsidRPr="00EE3FD3">
        <w:rPr>
          <w:rFonts w:ascii="Arial" w:hAnsi="Arial" w:cs="Arial"/>
          <w:sz w:val="20"/>
        </w:rPr>
        <w:t>oxaliplatin</w:t>
      </w:r>
      <w:proofErr w:type="spellEnd"/>
      <w:r w:rsidRPr="00EE3FD3">
        <w:rPr>
          <w:rFonts w:ascii="Arial" w:hAnsi="Arial" w:cs="Arial"/>
          <w:sz w:val="20"/>
        </w:rPr>
        <w:t xml:space="preserve"> </w:t>
      </w:r>
      <w:proofErr w:type="spellStart"/>
      <w:r w:rsidRPr="00EE3FD3">
        <w:rPr>
          <w:rFonts w:ascii="Arial" w:hAnsi="Arial" w:cs="Arial"/>
          <w:sz w:val="20"/>
        </w:rPr>
        <w:t>antitumour</w:t>
      </w:r>
      <w:proofErr w:type="spellEnd"/>
      <w:r w:rsidRPr="00EE3FD3">
        <w:rPr>
          <w:rFonts w:ascii="Arial" w:hAnsi="Arial" w:cs="Arial"/>
          <w:sz w:val="20"/>
        </w:rPr>
        <w:t xml:space="preserve"> ac</w:t>
      </w:r>
      <w:r w:rsidRPr="00EE3FD3">
        <w:rPr>
          <w:rFonts w:ascii="Arial" w:hAnsi="Arial" w:cs="Arial"/>
          <w:sz w:val="20"/>
        </w:rPr>
        <w:t xml:space="preserve">tivity by concurrent </w:t>
      </w:r>
      <w:proofErr w:type="spellStart"/>
      <w:r w:rsidRPr="00EE3FD3">
        <w:rPr>
          <w:rFonts w:ascii="Arial" w:hAnsi="Arial" w:cs="Arial"/>
          <w:sz w:val="20"/>
        </w:rPr>
        <w:t>myricetin</w:t>
      </w:r>
      <w:proofErr w:type="spellEnd"/>
      <w:r w:rsidRPr="00EE3FD3">
        <w:rPr>
          <w:rFonts w:ascii="Arial" w:hAnsi="Arial" w:cs="Arial"/>
          <w:sz w:val="20"/>
        </w:rPr>
        <w:t xml:space="preserve"> treatment with little or no increase in toxicity. In conclusion, MRP2 limits </w:t>
      </w:r>
      <w:proofErr w:type="spellStart"/>
      <w:r w:rsidRPr="00EE3FD3">
        <w:rPr>
          <w:rFonts w:ascii="Arial" w:hAnsi="Arial" w:cs="Arial"/>
          <w:sz w:val="20"/>
        </w:rPr>
        <w:t>oxaliplatin</w:t>
      </w:r>
      <w:proofErr w:type="spellEnd"/>
      <w:r w:rsidRPr="00EE3FD3">
        <w:rPr>
          <w:rFonts w:ascii="Arial" w:hAnsi="Arial" w:cs="Arial"/>
          <w:sz w:val="20"/>
        </w:rPr>
        <w:t xml:space="preserve"> accumulation and response in human gastrointestinal cancer. Screening tumour MRP2 expression levels, to select patients for treatment wi</w:t>
      </w:r>
      <w:r w:rsidRPr="00EE3FD3">
        <w:rPr>
          <w:rFonts w:ascii="Arial" w:hAnsi="Arial" w:cs="Arial"/>
          <w:sz w:val="20"/>
        </w:rPr>
        <w:t xml:space="preserve">th </w:t>
      </w:r>
      <w:proofErr w:type="spellStart"/>
      <w:r w:rsidRPr="00EE3FD3">
        <w:rPr>
          <w:rFonts w:ascii="Arial" w:hAnsi="Arial" w:cs="Arial"/>
          <w:sz w:val="20"/>
        </w:rPr>
        <w:t>oxaliplatin</w:t>
      </w:r>
      <w:proofErr w:type="spellEnd"/>
      <w:r w:rsidRPr="00EE3FD3">
        <w:rPr>
          <w:rFonts w:ascii="Arial" w:hAnsi="Arial" w:cs="Arial"/>
          <w:sz w:val="20"/>
        </w:rPr>
        <w:t xml:space="preserve"> alone or in combination with a MRP2 inhibitor, could improve outcomes from treatment of gastrointestinal cancer.</w:t>
      </w:r>
    </w:p>
    <w:p w:rsidR="004F6BFD" w:rsidRPr="00EE3FD3" w:rsidRDefault="00EE3FD3">
      <w:pPr>
        <w:spacing w:after="240"/>
        <w:rPr>
          <w:rFonts w:ascii="Arial" w:hAnsi="Arial" w:cs="Arial"/>
          <w:sz w:val="20"/>
        </w:rPr>
      </w:pPr>
      <w:r w:rsidRPr="00EE3FD3">
        <w:rPr>
          <w:rFonts w:ascii="Arial" w:hAnsi="Arial" w:cs="Arial"/>
          <w:sz w:val="20"/>
          <w:lang w:val="en-US"/>
        </w:rPr>
        <w:t xml:space="preserve">Funding for this project was from a New Zealand Aid </w:t>
      </w:r>
      <w:proofErr w:type="spellStart"/>
      <w:r w:rsidRPr="00EE3FD3">
        <w:rPr>
          <w:rFonts w:ascii="Arial" w:hAnsi="Arial" w:cs="Arial"/>
          <w:sz w:val="20"/>
          <w:lang w:val="en-US"/>
        </w:rPr>
        <w:t>Programme</w:t>
      </w:r>
      <w:proofErr w:type="spellEnd"/>
      <w:r w:rsidRPr="00EE3FD3">
        <w:rPr>
          <w:rFonts w:ascii="Arial" w:hAnsi="Arial" w:cs="Arial"/>
          <w:sz w:val="20"/>
          <w:lang w:val="en-US"/>
        </w:rPr>
        <w:t xml:space="preserve"> Scholarship (KM) and grants from the Cancer Society of New Zealand</w:t>
      </w:r>
      <w:r w:rsidRPr="00EE3FD3">
        <w:rPr>
          <w:rFonts w:ascii="Arial" w:hAnsi="Arial" w:cs="Arial"/>
          <w:sz w:val="20"/>
          <w:lang w:val="en-US"/>
        </w:rPr>
        <w:t xml:space="preserve"> (Project Grants 10/23 and 15/21) (MM) and Health Research Council of New Zealand (Project Grant 12/254) (MM).  We are grateful for the contributions to this work from Associate Professor </w:t>
      </w:r>
      <w:r w:rsidRPr="00EE3FD3">
        <w:rPr>
          <w:rFonts w:ascii="Arial" w:hAnsi="Arial" w:cs="Arial"/>
          <w:sz w:val="20"/>
        </w:rPr>
        <w:t>James Paxton and Angela Ding.</w:t>
      </w:r>
    </w:p>
    <w:p w:rsidR="004F6BFD" w:rsidRPr="00EE3FD3" w:rsidRDefault="004F6BFD">
      <w:pPr>
        <w:spacing w:after="240"/>
        <w:rPr>
          <w:rFonts w:ascii="Arial" w:hAnsi="Arial" w:cs="Arial"/>
          <w:sz w:val="20"/>
          <w:lang w:val="en-US"/>
        </w:rPr>
      </w:pPr>
    </w:p>
    <w:p w:rsidR="004F6BFD" w:rsidRPr="00EE3FD3" w:rsidRDefault="004F6BFD">
      <w:pPr>
        <w:rPr>
          <w:rFonts w:ascii="Arial" w:hAnsi="Arial" w:cs="Arial"/>
          <w:i/>
          <w:sz w:val="20"/>
          <w:lang w:val="en-US"/>
        </w:rPr>
        <w:sectPr w:rsidR="004F6BFD" w:rsidRPr="00EE3FD3">
          <w:pgSz w:w="12240" w:h="15840"/>
          <w:pgMar w:top="1133" w:right="850" w:bottom="1133" w:left="1700" w:header="708" w:footer="708" w:gutter="0"/>
          <w:cols w:space="720"/>
        </w:sectPr>
      </w:pPr>
    </w:p>
    <w:p w:rsidR="004F6BFD" w:rsidRPr="00EE3FD3" w:rsidRDefault="004F6BFD">
      <w:pPr>
        <w:rPr>
          <w:rFonts w:ascii="Arial" w:hAnsi="Arial" w:cs="Arial"/>
          <w:i/>
          <w:sz w:val="20"/>
          <w:lang w:val="en-US"/>
        </w:rPr>
      </w:pPr>
    </w:p>
    <w:p w:rsidR="004F6BFD" w:rsidRPr="00EE3FD3" w:rsidRDefault="00EE3FD3">
      <w:pPr>
        <w:pStyle w:val="AbstractBookSessionDetails"/>
        <w:rPr>
          <w:rFonts w:ascii="Arial" w:hAnsi="Arial" w:cs="Arial"/>
          <w:sz w:val="20"/>
          <w:lang w:val="en-US"/>
        </w:rPr>
      </w:pPr>
      <w:r w:rsidRPr="00EE3FD3">
        <w:rPr>
          <w:rFonts w:ascii="Arial" w:hAnsi="Arial" w:cs="Arial"/>
          <w:sz w:val="20"/>
          <w:lang w:val="en-US"/>
        </w:rPr>
        <w:t>Session five, August 2</w:t>
      </w:r>
      <w:r w:rsidRPr="00EE3FD3">
        <w:rPr>
          <w:rFonts w:ascii="Arial" w:hAnsi="Arial" w:cs="Arial"/>
          <w:sz w:val="20"/>
          <w:lang w:val="en-US"/>
        </w:rPr>
        <w:t>5, 2018, 9:00 AM - 10:40 AM</w:t>
      </w:r>
    </w:p>
    <w:p w:rsidR="004F6BFD" w:rsidRPr="00EE3FD3" w:rsidRDefault="004F6BFD">
      <w:pPr>
        <w:pStyle w:val="AbstractBookBaseParagraph"/>
        <w:rPr>
          <w:rFonts w:ascii="Arial" w:hAnsi="Arial" w:cs="Arial"/>
          <w:i/>
          <w:sz w:val="20"/>
          <w:lang w:val="en-US"/>
        </w:rPr>
      </w:pPr>
    </w:p>
    <w:p w:rsidR="004F6BFD" w:rsidRPr="00EE3FD3" w:rsidRDefault="00EE3FD3">
      <w:pPr>
        <w:shd w:val="clear" w:color="auto" w:fill="FFFFFF"/>
        <w:rPr>
          <w:rFonts w:ascii="Arial" w:hAnsi="Arial" w:cs="Arial"/>
          <w:sz w:val="24"/>
        </w:rPr>
      </w:pPr>
      <w:r w:rsidRPr="00EE3FD3">
        <w:rPr>
          <w:rFonts w:ascii="Arial" w:hAnsi="Arial" w:cs="Arial"/>
          <w:b/>
          <w:sz w:val="24"/>
        </w:rPr>
        <w:t>Co-targeting BRAF and VEGF receptors synergistically inhibited the growth of BRAF-mutant and BRAF wild-type melanomas</w:t>
      </w:r>
    </w:p>
    <w:p w:rsidR="004F6BFD" w:rsidRPr="00EE3FD3" w:rsidRDefault="00EE3FD3">
      <w:pPr>
        <w:shd w:val="clear" w:color="auto" w:fill="FFFFFF"/>
        <w:rPr>
          <w:rFonts w:ascii="Arial" w:hAnsi="Arial" w:cs="Arial"/>
          <w:sz w:val="20"/>
        </w:rPr>
      </w:pPr>
      <w:r w:rsidRPr="00EE3FD3">
        <w:rPr>
          <w:rFonts w:ascii="Arial" w:hAnsi="Arial" w:cs="Arial"/>
          <w:b/>
          <w:sz w:val="20"/>
        </w:rPr>
        <w:t> </w:t>
      </w:r>
    </w:p>
    <w:p w:rsidR="004F6BFD" w:rsidRPr="00EE3FD3" w:rsidRDefault="00EE3FD3">
      <w:pPr>
        <w:shd w:val="clear" w:color="auto" w:fill="FFFFFF"/>
        <w:jc w:val="both"/>
        <w:rPr>
          <w:rFonts w:ascii="Arial" w:hAnsi="Arial" w:cs="Arial"/>
          <w:sz w:val="20"/>
        </w:rPr>
      </w:pPr>
      <w:r w:rsidRPr="00EE3FD3">
        <w:rPr>
          <w:rFonts w:ascii="Arial" w:hAnsi="Arial" w:cs="Arial"/>
          <w:b/>
          <w:sz w:val="20"/>
        </w:rPr>
        <w:t>Tran, Khanh</w:t>
      </w:r>
      <w:r w:rsidRPr="00EE3FD3">
        <w:rPr>
          <w:rFonts w:ascii="Arial" w:hAnsi="Arial" w:cs="Arial"/>
          <w:b/>
          <w:sz w:val="20"/>
          <w:vertAlign w:val="superscript"/>
        </w:rPr>
        <w:t>1</w:t>
      </w:r>
      <w:r w:rsidRPr="00EE3FD3">
        <w:rPr>
          <w:rFonts w:ascii="Arial" w:hAnsi="Arial" w:cs="Arial"/>
          <w:sz w:val="20"/>
          <w:vertAlign w:val="superscript"/>
        </w:rPr>
        <w:t>,2,3</w:t>
      </w:r>
      <w:r w:rsidRPr="00EE3FD3">
        <w:rPr>
          <w:rFonts w:ascii="Arial" w:hAnsi="Arial" w:cs="Arial"/>
          <w:sz w:val="20"/>
        </w:rPr>
        <w:t>, Shih, Jen-Hsing</w:t>
      </w:r>
      <w:r w:rsidRPr="00EE3FD3">
        <w:rPr>
          <w:rFonts w:ascii="Arial" w:hAnsi="Arial" w:cs="Arial"/>
          <w:sz w:val="20"/>
          <w:vertAlign w:val="superscript"/>
        </w:rPr>
        <w:t>1,2</w:t>
      </w:r>
      <w:r w:rsidRPr="00EE3FD3">
        <w:rPr>
          <w:rFonts w:ascii="Arial" w:hAnsi="Arial" w:cs="Arial"/>
          <w:sz w:val="20"/>
        </w:rPr>
        <w:t>, Wang, Qian</w:t>
      </w:r>
      <w:r w:rsidRPr="00EE3FD3">
        <w:rPr>
          <w:rFonts w:ascii="Arial" w:hAnsi="Arial" w:cs="Arial"/>
          <w:sz w:val="20"/>
          <w:vertAlign w:val="superscript"/>
        </w:rPr>
        <w:t>1,2</w:t>
      </w:r>
      <w:r w:rsidRPr="00EE3FD3">
        <w:rPr>
          <w:rFonts w:ascii="Arial" w:hAnsi="Arial" w:cs="Arial"/>
          <w:sz w:val="20"/>
        </w:rPr>
        <w:t>, Jamieson, Stephen</w:t>
      </w:r>
      <w:r w:rsidRPr="00EE3FD3">
        <w:rPr>
          <w:rFonts w:ascii="Arial" w:hAnsi="Arial" w:cs="Arial"/>
          <w:sz w:val="20"/>
          <w:vertAlign w:val="superscript"/>
        </w:rPr>
        <w:t>1,3</w:t>
      </w:r>
      <w:r w:rsidRPr="00EE3FD3">
        <w:rPr>
          <w:rFonts w:ascii="Arial" w:hAnsi="Arial" w:cs="Arial"/>
          <w:sz w:val="20"/>
        </w:rPr>
        <w:t>, Print, Cristin</w:t>
      </w:r>
      <w:r w:rsidRPr="00EE3FD3">
        <w:rPr>
          <w:rFonts w:ascii="Arial" w:hAnsi="Arial" w:cs="Arial"/>
          <w:sz w:val="20"/>
          <w:vertAlign w:val="superscript"/>
        </w:rPr>
        <w:t>1,3</w:t>
      </w:r>
      <w:r w:rsidRPr="00EE3FD3">
        <w:rPr>
          <w:rFonts w:ascii="Arial" w:hAnsi="Arial" w:cs="Arial"/>
          <w:sz w:val="20"/>
        </w:rPr>
        <w:t>, Tsai, Peter</w:t>
      </w:r>
      <w:r w:rsidRPr="00EE3FD3">
        <w:rPr>
          <w:rFonts w:ascii="Arial" w:hAnsi="Arial" w:cs="Arial"/>
          <w:sz w:val="20"/>
          <w:vertAlign w:val="superscript"/>
        </w:rPr>
        <w:t>2</w:t>
      </w:r>
      <w:r w:rsidRPr="00EE3FD3">
        <w:rPr>
          <w:rFonts w:ascii="Arial" w:hAnsi="Arial" w:cs="Arial"/>
          <w:sz w:val="20"/>
        </w:rPr>
        <w:t>,</w:t>
      </w:r>
      <w:r w:rsidRPr="00EE3FD3">
        <w:rPr>
          <w:rFonts w:ascii="Arial" w:hAnsi="Arial" w:cs="Arial"/>
          <w:sz w:val="20"/>
        </w:rPr>
        <w:t xml:space="preserve"> Blenkiron, Cherie</w:t>
      </w:r>
      <w:r w:rsidRPr="00EE3FD3">
        <w:rPr>
          <w:rFonts w:ascii="Arial" w:hAnsi="Arial" w:cs="Arial"/>
          <w:sz w:val="20"/>
          <w:vertAlign w:val="superscript"/>
        </w:rPr>
        <w:t>2</w:t>
      </w:r>
      <w:r w:rsidRPr="00EE3FD3">
        <w:rPr>
          <w:rFonts w:ascii="Arial" w:hAnsi="Arial" w:cs="Arial"/>
          <w:sz w:val="20"/>
        </w:rPr>
        <w:t xml:space="preserve">, </w:t>
      </w:r>
      <w:proofErr w:type="spellStart"/>
      <w:r w:rsidRPr="00EE3FD3">
        <w:rPr>
          <w:rFonts w:ascii="Arial" w:hAnsi="Arial" w:cs="Arial"/>
          <w:sz w:val="20"/>
        </w:rPr>
        <w:t>Seyfoddin</w:t>
      </w:r>
      <w:proofErr w:type="spellEnd"/>
      <w:r w:rsidRPr="00EE3FD3">
        <w:rPr>
          <w:rFonts w:ascii="Arial" w:hAnsi="Arial" w:cs="Arial"/>
          <w:sz w:val="20"/>
        </w:rPr>
        <w:t>, Vahid</w:t>
      </w:r>
      <w:r w:rsidRPr="00EE3FD3">
        <w:rPr>
          <w:rFonts w:ascii="Arial" w:hAnsi="Arial" w:cs="Arial"/>
          <w:sz w:val="20"/>
          <w:vertAlign w:val="superscript"/>
        </w:rPr>
        <w:t>2</w:t>
      </w:r>
      <w:r w:rsidRPr="00EE3FD3">
        <w:rPr>
          <w:rFonts w:ascii="Arial" w:hAnsi="Arial" w:cs="Arial"/>
          <w:sz w:val="20"/>
        </w:rPr>
        <w:t xml:space="preserve">, </w:t>
      </w:r>
      <w:proofErr w:type="spellStart"/>
      <w:r w:rsidRPr="00EE3FD3">
        <w:rPr>
          <w:rFonts w:ascii="Arial" w:hAnsi="Arial" w:cs="Arial"/>
          <w:sz w:val="20"/>
        </w:rPr>
        <w:t>Kolekar</w:t>
      </w:r>
      <w:proofErr w:type="spellEnd"/>
      <w:r w:rsidRPr="00EE3FD3">
        <w:rPr>
          <w:rFonts w:ascii="Arial" w:hAnsi="Arial" w:cs="Arial"/>
          <w:sz w:val="20"/>
        </w:rPr>
        <w:t>, Sharada</w:t>
      </w:r>
      <w:r w:rsidRPr="00EE3FD3">
        <w:rPr>
          <w:rFonts w:ascii="Arial" w:hAnsi="Arial" w:cs="Arial"/>
          <w:sz w:val="20"/>
          <w:vertAlign w:val="superscript"/>
        </w:rPr>
        <w:t>1</w:t>
      </w:r>
      <w:r w:rsidRPr="00EE3FD3">
        <w:rPr>
          <w:rFonts w:ascii="Arial" w:hAnsi="Arial" w:cs="Arial"/>
          <w:sz w:val="20"/>
        </w:rPr>
        <w:t>, Buchanan, Christina</w:t>
      </w:r>
      <w:r w:rsidRPr="00EE3FD3">
        <w:rPr>
          <w:rFonts w:ascii="Arial" w:hAnsi="Arial" w:cs="Arial"/>
          <w:sz w:val="20"/>
          <w:vertAlign w:val="superscript"/>
        </w:rPr>
        <w:t>2,3</w:t>
      </w:r>
      <w:r w:rsidRPr="00EE3FD3">
        <w:rPr>
          <w:rFonts w:ascii="Arial" w:hAnsi="Arial" w:cs="Arial"/>
          <w:sz w:val="20"/>
        </w:rPr>
        <w:t>, Hunter, Francis</w:t>
      </w:r>
      <w:r w:rsidRPr="00EE3FD3">
        <w:rPr>
          <w:rFonts w:ascii="Arial" w:hAnsi="Arial" w:cs="Arial"/>
          <w:sz w:val="20"/>
          <w:vertAlign w:val="superscript"/>
        </w:rPr>
        <w:t>1,3</w:t>
      </w:r>
      <w:r w:rsidRPr="00EE3FD3">
        <w:rPr>
          <w:rFonts w:ascii="Arial" w:hAnsi="Arial" w:cs="Arial"/>
          <w:sz w:val="20"/>
        </w:rPr>
        <w:t>, Baguley, Bruce</w:t>
      </w:r>
      <w:r w:rsidRPr="00EE3FD3">
        <w:rPr>
          <w:rFonts w:ascii="Arial" w:hAnsi="Arial" w:cs="Arial"/>
          <w:sz w:val="20"/>
          <w:vertAlign w:val="superscript"/>
        </w:rPr>
        <w:t>1,3</w:t>
      </w:r>
      <w:r w:rsidRPr="00EE3FD3">
        <w:rPr>
          <w:rFonts w:ascii="Arial" w:hAnsi="Arial" w:cs="Arial"/>
          <w:sz w:val="20"/>
        </w:rPr>
        <w:t>, and Shepherd, Peter</w:t>
      </w:r>
      <w:r w:rsidRPr="00EE3FD3">
        <w:rPr>
          <w:rFonts w:ascii="Arial" w:hAnsi="Arial" w:cs="Arial"/>
          <w:sz w:val="20"/>
          <w:vertAlign w:val="superscript"/>
        </w:rPr>
        <w:t>1,2,3</w:t>
      </w:r>
    </w:p>
    <w:p w:rsidR="004F6BFD" w:rsidRPr="00EE3FD3" w:rsidRDefault="00EE3FD3">
      <w:pPr>
        <w:shd w:val="clear" w:color="auto" w:fill="FFFFFF"/>
        <w:rPr>
          <w:rFonts w:ascii="Arial" w:hAnsi="Arial" w:cs="Arial"/>
          <w:sz w:val="20"/>
        </w:rPr>
      </w:pPr>
      <w:r w:rsidRPr="00EE3FD3">
        <w:rPr>
          <w:rFonts w:ascii="Arial" w:hAnsi="Arial" w:cs="Arial"/>
          <w:sz w:val="20"/>
          <w:vertAlign w:val="superscript"/>
        </w:rPr>
        <w:t> </w:t>
      </w:r>
    </w:p>
    <w:p w:rsidR="004F6BFD" w:rsidRPr="00EE3FD3" w:rsidRDefault="00EE3FD3">
      <w:pPr>
        <w:shd w:val="clear" w:color="auto" w:fill="FFFFFF"/>
        <w:rPr>
          <w:rFonts w:ascii="Arial" w:hAnsi="Arial" w:cs="Arial"/>
          <w:sz w:val="20"/>
        </w:rPr>
      </w:pPr>
      <w:r w:rsidRPr="00EE3FD3">
        <w:rPr>
          <w:rFonts w:ascii="Arial" w:hAnsi="Arial" w:cs="Arial"/>
          <w:sz w:val="20"/>
          <w:vertAlign w:val="superscript"/>
        </w:rPr>
        <w:t>1</w:t>
      </w:r>
      <w:r w:rsidRPr="00EE3FD3">
        <w:rPr>
          <w:rFonts w:ascii="Arial" w:hAnsi="Arial" w:cs="Arial"/>
          <w:sz w:val="20"/>
        </w:rPr>
        <w:t>Auckland Cancer Society Research Centre, University of Auckland, New Zealand</w:t>
      </w:r>
    </w:p>
    <w:p w:rsidR="004F6BFD" w:rsidRPr="00EE3FD3" w:rsidRDefault="00EE3FD3">
      <w:pPr>
        <w:shd w:val="clear" w:color="auto" w:fill="FFFFFF"/>
        <w:rPr>
          <w:rFonts w:ascii="Arial" w:hAnsi="Arial" w:cs="Arial"/>
          <w:sz w:val="20"/>
        </w:rPr>
      </w:pPr>
      <w:r w:rsidRPr="00EE3FD3">
        <w:rPr>
          <w:rFonts w:ascii="Arial" w:hAnsi="Arial" w:cs="Arial"/>
          <w:sz w:val="20"/>
          <w:vertAlign w:val="superscript"/>
        </w:rPr>
        <w:t>2</w:t>
      </w:r>
      <w:r w:rsidRPr="00EE3FD3">
        <w:rPr>
          <w:rFonts w:ascii="Arial" w:hAnsi="Arial" w:cs="Arial"/>
          <w:sz w:val="20"/>
        </w:rPr>
        <w:t>Department of Molecular Medi</w:t>
      </w:r>
      <w:r w:rsidRPr="00EE3FD3">
        <w:rPr>
          <w:rFonts w:ascii="Arial" w:hAnsi="Arial" w:cs="Arial"/>
          <w:sz w:val="20"/>
        </w:rPr>
        <w:t>cine and Pathology, University of Auckland, New Zealand</w:t>
      </w:r>
    </w:p>
    <w:p w:rsidR="004F6BFD" w:rsidRPr="00EE3FD3" w:rsidRDefault="00EE3FD3">
      <w:pPr>
        <w:shd w:val="clear" w:color="auto" w:fill="FFFFFF"/>
        <w:rPr>
          <w:rFonts w:ascii="Arial" w:hAnsi="Arial" w:cs="Arial"/>
          <w:sz w:val="20"/>
        </w:rPr>
      </w:pPr>
      <w:r w:rsidRPr="00EE3FD3">
        <w:rPr>
          <w:rFonts w:ascii="Arial" w:hAnsi="Arial" w:cs="Arial"/>
          <w:sz w:val="20"/>
          <w:vertAlign w:val="superscript"/>
        </w:rPr>
        <w:t>3</w:t>
      </w:r>
      <w:r w:rsidRPr="00EE3FD3">
        <w:rPr>
          <w:rFonts w:ascii="Arial" w:hAnsi="Arial" w:cs="Arial"/>
          <w:sz w:val="20"/>
        </w:rPr>
        <w:t>Maurice Wilkins Centre, University of Auckland, New Zealand</w:t>
      </w:r>
    </w:p>
    <w:p w:rsidR="004F6BFD" w:rsidRPr="00EE3FD3" w:rsidRDefault="00EE3FD3">
      <w:pPr>
        <w:shd w:val="clear" w:color="auto" w:fill="FFFFFF"/>
        <w:rPr>
          <w:rFonts w:ascii="Arial" w:hAnsi="Arial" w:cs="Arial"/>
          <w:sz w:val="20"/>
        </w:rPr>
      </w:pPr>
      <w:r w:rsidRPr="00EE3FD3">
        <w:rPr>
          <w:rFonts w:ascii="Arial" w:hAnsi="Arial" w:cs="Arial"/>
          <w:sz w:val="20"/>
        </w:rPr>
        <w:t> </w:t>
      </w:r>
    </w:p>
    <w:p w:rsidR="004F6BFD" w:rsidRPr="00EE3FD3" w:rsidRDefault="00EE3FD3">
      <w:pPr>
        <w:shd w:val="clear" w:color="auto" w:fill="FFFFFF"/>
        <w:jc w:val="both"/>
        <w:rPr>
          <w:rFonts w:ascii="Arial" w:hAnsi="Arial" w:cs="Arial"/>
          <w:sz w:val="20"/>
        </w:rPr>
      </w:pPr>
      <w:r w:rsidRPr="00EE3FD3">
        <w:rPr>
          <w:rFonts w:ascii="Arial" w:hAnsi="Arial" w:cs="Arial"/>
          <w:b/>
          <w:sz w:val="20"/>
        </w:rPr>
        <w:t>Background </w:t>
      </w:r>
      <w:r w:rsidRPr="00EE3FD3">
        <w:rPr>
          <w:rFonts w:ascii="Arial" w:hAnsi="Arial" w:cs="Arial"/>
          <w:sz w:val="20"/>
        </w:rPr>
        <w:t xml:space="preserve">BRAF inhibitors such as </w:t>
      </w:r>
      <w:proofErr w:type="spellStart"/>
      <w:r w:rsidRPr="00EE3FD3">
        <w:rPr>
          <w:rFonts w:ascii="Arial" w:hAnsi="Arial" w:cs="Arial"/>
          <w:sz w:val="20"/>
        </w:rPr>
        <w:t>vemurafenib</w:t>
      </w:r>
      <w:proofErr w:type="spellEnd"/>
      <w:r w:rsidRPr="00EE3FD3">
        <w:rPr>
          <w:rFonts w:ascii="Arial" w:hAnsi="Arial" w:cs="Arial"/>
          <w:sz w:val="20"/>
        </w:rPr>
        <w:t xml:space="preserve"> (VEM) are only effective as single agent melanoma therapy in BRAF-mutant melanomas and res</w:t>
      </w:r>
      <w:r w:rsidRPr="00EE3FD3">
        <w:rPr>
          <w:rFonts w:ascii="Arial" w:hAnsi="Arial" w:cs="Arial"/>
          <w:sz w:val="20"/>
        </w:rPr>
        <w:t>istance to the treatment develops within 6 to 12 months. We investigated whether targeting VEGF receptors could increase the efficacy of the BRAF inhibition therapy.</w:t>
      </w:r>
    </w:p>
    <w:p w:rsidR="004F6BFD" w:rsidRPr="00EE3FD3" w:rsidRDefault="00EE3FD3">
      <w:pPr>
        <w:shd w:val="clear" w:color="auto" w:fill="FFFFFF"/>
        <w:jc w:val="both"/>
        <w:rPr>
          <w:rFonts w:ascii="Arial" w:hAnsi="Arial" w:cs="Arial"/>
          <w:sz w:val="20"/>
        </w:rPr>
      </w:pPr>
      <w:r w:rsidRPr="00EE3FD3">
        <w:rPr>
          <w:rFonts w:ascii="Arial" w:hAnsi="Arial" w:cs="Arial"/>
          <w:b/>
          <w:sz w:val="20"/>
        </w:rPr>
        <w:t>Method </w:t>
      </w:r>
      <w:r w:rsidRPr="00EE3FD3">
        <w:rPr>
          <w:rFonts w:ascii="Arial" w:hAnsi="Arial" w:cs="Arial"/>
          <w:sz w:val="20"/>
        </w:rPr>
        <w:t>We measured levels of VEGF-A secretion from our unique NZM panel of melanoma cell l</w:t>
      </w:r>
      <w:r w:rsidRPr="00EE3FD3">
        <w:rPr>
          <w:rFonts w:ascii="Arial" w:hAnsi="Arial" w:cs="Arial"/>
          <w:sz w:val="20"/>
        </w:rPr>
        <w:t>ines, including BRAF- and RAS-mutant lines and lines with neither BRAF nor RAS mutations (</w:t>
      </w:r>
      <w:proofErr w:type="spellStart"/>
      <w:r w:rsidRPr="00EE3FD3">
        <w:rPr>
          <w:rFonts w:ascii="Arial" w:hAnsi="Arial" w:cs="Arial"/>
          <w:sz w:val="20"/>
        </w:rPr>
        <w:t>nonBRAF</w:t>
      </w:r>
      <w:proofErr w:type="spellEnd"/>
      <w:r w:rsidRPr="00EE3FD3">
        <w:rPr>
          <w:rFonts w:ascii="Arial" w:hAnsi="Arial" w:cs="Arial"/>
          <w:sz w:val="20"/>
        </w:rPr>
        <w:t>/</w:t>
      </w:r>
      <w:proofErr w:type="spellStart"/>
      <w:r w:rsidRPr="00EE3FD3">
        <w:rPr>
          <w:rFonts w:ascii="Arial" w:hAnsi="Arial" w:cs="Arial"/>
          <w:sz w:val="20"/>
        </w:rPr>
        <w:t>nonRAS</w:t>
      </w:r>
      <w:proofErr w:type="spellEnd"/>
      <w:r w:rsidRPr="00EE3FD3">
        <w:rPr>
          <w:rFonts w:ascii="Arial" w:hAnsi="Arial" w:cs="Arial"/>
          <w:sz w:val="20"/>
        </w:rPr>
        <w:t xml:space="preserve"> lines). Variations of the VEGF pathways in these cells were analysed by exome sequencing, RNA-</w:t>
      </w:r>
      <w:proofErr w:type="spellStart"/>
      <w:r w:rsidRPr="00EE3FD3">
        <w:rPr>
          <w:rFonts w:ascii="Arial" w:hAnsi="Arial" w:cs="Arial"/>
          <w:sz w:val="20"/>
        </w:rPr>
        <w:t>Seq</w:t>
      </w:r>
      <w:proofErr w:type="spellEnd"/>
      <w:r w:rsidRPr="00EE3FD3">
        <w:rPr>
          <w:rFonts w:ascii="Arial" w:hAnsi="Arial" w:cs="Arial"/>
          <w:sz w:val="20"/>
        </w:rPr>
        <w:t xml:space="preserve"> and western blotting. Xenograft and syngeneic models </w:t>
      </w:r>
      <w:r w:rsidRPr="00EE3FD3">
        <w:rPr>
          <w:rFonts w:ascii="Arial" w:hAnsi="Arial" w:cs="Arial"/>
          <w:sz w:val="20"/>
        </w:rPr>
        <w:t xml:space="preserve">were used to investigate efficacy and safety of a combination of VEM and the VEGFR2 inhibitor </w:t>
      </w:r>
      <w:proofErr w:type="spellStart"/>
      <w:r w:rsidRPr="00EE3FD3">
        <w:rPr>
          <w:rFonts w:ascii="Arial" w:hAnsi="Arial" w:cs="Arial"/>
          <w:sz w:val="20"/>
        </w:rPr>
        <w:t>axitinib</w:t>
      </w:r>
      <w:proofErr w:type="spellEnd"/>
      <w:r w:rsidRPr="00EE3FD3">
        <w:rPr>
          <w:rFonts w:ascii="Arial" w:hAnsi="Arial" w:cs="Arial"/>
          <w:sz w:val="20"/>
        </w:rPr>
        <w:t xml:space="preserve"> (AXI) </w:t>
      </w:r>
      <w:r w:rsidRPr="00EE3FD3">
        <w:rPr>
          <w:rFonts w:ascii="Arial" w:hAnsi="Arial" w:cs="Arial"/>
          <w:i/>
          <w:sz w:val="20"/>
        </w:rPr>
        <w:t>in vivo</w:t>
      </w:r>
      <w:r w:rsidRPr="00EE3FD3">
        <w:rPr>
          <w:rFonts w:ascii="Arial" w:hAnsi="Arial" w:cs="Arial"/>
          <w:sz w:val="20"/>
        </w:rPr>
        <w:t>. Species-specific tumour RNA sequencing was performed to identify pathways uniquely affected by the drug combination in tumour cells and ho</w:t>
      </w:r>
      <w:r w:rsidRPr="00EE3FD3">
        <w:rPr>
          <w:rFonts w:ascii="Arial" w:hAnsi="Arial" w:cs="Arial"/>
          <w:sz w:val="20"/>
        </w:rPr>
        <w:t xml:space="preserve">st stroma. </w:t>
      </w:r>
      <w:proofErr w:type="spellStart"/>
      <w:r w:rsidRPr="00EE3FD3">
        <w:rPr>
          <w:rFonts w:ascii="Arial" w:hAnsi="Arial" w:cs="Arial"/>
          <w:sz w:val="20"/>
        </w:rPr>
        <w:t>RNAscope</w:t>
      </w:r>
      <w:proofErr w:type="spellEnd"/>
      <w:r w:rsidRPr="00EE3FD3">
        <w:rPr>
          <w:rFonts w:ascii="Arial" w:hAnsi="Arial" w:cs="Arial"/>
          <w:sz w:val="20"/>
        </w:rPr>
        <w:t xml:space="preserve"> and immunohistochemistry were used to further analyse effects of the drugs in the tumours.       </w:t>
      </w:r>
    </w:p>
    <w:p w:rsidR="004F6BFD" w:rsidRPr="00EE3FD3" w:rsidRDefault="00EE3FD3">
      <w:pPr>
        <w:shd w:val="clear" w:color="auto" w:fill="FFFFFF"/>
        <w:jc w:val="both"/>
        <w:rPr>
          <w:rFonts w:ascii="Arial" w:hAnsi="Arial" w:cs="Arial"/>
          <w:sz w:val="20"/>
        </w:rPr>
      </w:pPr>
      <w:r w:rsidRPr="00EE3FD3">
        <w:rPr>
          <w:rFonts w:ascii="Arial" w:hAnsi="Arial" w:cs="Arial"/>
          <w:b/>
          <w:sz w:val="20"/>
        </w:rPr>
        <w:t>Results </w:t>
      </w:r>
      <w:r w:rsidRPr="00EE3FD3">
        <w:rPr>
          <w:rFonts w:ascii="Arial" w:hAnsi="Arial" w:cs="Arial"/>
          <w:sz w:val="20"/>
        </w:rPr>
        <w:t xml:space="preserve">V600E-mutant melanoma cell lines secreted VEGF at significantly higher levels compared to cell lines with RAS mutations or </w:t>
      </w:r>
      <w:proofErr w:type="spellStart"/>
      <w:r w:rsidRPr="00EE3FD3">
        <w:rPr>
          <w:rFonts w:ascii="Arial" w:hAnsi="Arial" w:cs="Arial"/>
          <w:sz w:val="20"/>
        </w:rPr>
        <w:t>nonBRAF</w:t>
      </w:r>
      <w:proofErr w:type="spellEnd"/>
      <w:r w:rsidRPr="00EE3FD3">
        <w:rPr>
          <w:rFonts w:ascii="Arial" w:hAnsi="Arial" w:cs="Arial"/>
          <w:sz w:val="20"/>
        </w:rPr>
        <w:t>/</w:t>
      </w:r>
      <w:proofErr w:type="spellStart"/>
      <w:r w:rsidRPr="00EE3FD3">
        <w:rPr>
          <w:rFonts w:ascii="Arial" w:hAnsi="Arial" w:cs="Arial"/>
          <w:sz w:val="20"/>
        </w:rPr>
        <w:t>nonRAS</w:t>
      </w:r>
      <w:proofErr w:type="spellEnd"/>
      <w:r w:rsidRPr="00EE3FD3">
        <w:rPr>
          <w:rFonts w:ascii="Arial" w:hAnsi="Arial" w:cs="Arial"/>
          <w:sz w:val="20"/>
        </w:rPr>
        <w:t xml:space="preserve"> lines. VEM downregulated VEGF secretion in V600E-mutant cell lines but not in RAS-mutant or </w:t>
      </w:r>
      <w:proofErr w:type="spellStart"/>
      <w:r w:rsidRPr="00EE3FD3">
        <w:rPr>
          <w:rFonts w:ascii="Arial" w:hAnsi="Arial" w:cs="Arial"/>
          <w:sz w:val="20"/>
        </w:rPr>
        <w:t>nonBRAF</w:t>
      </w:r>
      <w:proofErr w:type="spellEnd"/>
      <w:r w:rsidRPr="00EE3FD3">
        <w:rPr>
          <w:rFonts w:ascii="Arial" w:hAnsi="Arial" w:cs="Arial"/>
          <w:sz w:val="20"/>
        </w:rPr>
        <w:t>/</w:t>
      </w:r>
      <w:proofErr w:type="spellStart"/>
      <w:r w:rsidRPr="00EE3FD3">
        <w:rPr>
          <w:rFonts w:ascii="Arial" w:hAnsi="Arial" w:cs="Arial"/>
          <w:sz w:val="20"/>
        </w:rPr>
        <w:t>nonRAS</w:t>
      </w:r>
      <w:proofErr w:type="spellEnd"/>
      <w:r w:rsidRPr="00EE3FD3">
        <w:rPr>
          <w:rFonts w:ascii="Arial" w:hAnsi="Arial" w:cs="Arial"/>
          <w:sz w:val="20"/>
        </w:rPr>
        <w:t xml:space="preserve"> cell lines. We found in two separate BRAF-mutant xenograft models that the VEM + AXI combination synergistically inhibited the tumour growth.</w:t>
      </w:r>
      <w:r w:rsidRPr="00EE3FD3">
        <w:rPr>
          <w:rFonts w:ascii="Arial" w:hAnsi="Arial" w:cs="Arial"/>
          <w:sz w:val="20"/>
        </w:rPr>
        <w:t xml:space="preserve"> Interestingly, the combination also inhibited the growth of two separate NRAS-mutant xenograft models and a </w:t>
      </w:r>
      <w:proofErr w:type="spellStart"/>
      <w:r w:rsidRPr="00EE3FD3">
        <w:rPr>
          <w:rFonts w:ascii="Arial" w:hAnsi="Arial" w:cs="Arial"/>
          <w:sz w:val="20"/>
        </w:rPr>
        <w:t>nonBRAF</w:t>
      </w:r>
      <w:proofErr w:type="spellEnd"/>
      <w:r w:rsidRPr="00EE3FD3">
        <w:rPr>
          <w:rFonts w:ascii="Arial" w:hAnsi="Arial" w:cs="Arial"/>
          <w:sz w:val="20"/>
        </w:rPr>
        <w:t>/</w:t>
      </w:r>
      <w:proofErr w:type="spellStart"/>
      <w:r w:rsidRPr="00EE3FD3">
        <w:rPr>
          <w:rFonts w:ascii="Arial" w:hAnsi="Arial" w:cs="Arial"/>
          <w:sz w:val="20"/>
        </w:rPr>
        <w:t>nonRAS</w:t>
      </w:r>
      <w:proofErr w:type="spellEnd"/>
      <w:r w:rsidRPr="00EE3FD3">
        <w:rPr>
          <w:rFonts w:ascii="Arial" w:hAnsi="Arial" w:cs="Arial"/>
          <w:sz w:val="20"/>
        </w:rPr>
        <w:t xml:space="preserve"> model. A similar trend was found in the syngeneic B16 murine melanoma model, suggesting the combination was also effective when an i</w:t>
      </w:r>
      <w:r w:rsidRPr="00EE3FD3">
        <w:rPr>
          <w:rFonts w:ascii="Arial" w:hAnsi="Arial" w:cs="Arial"/>
          <w:sz w:val="20"/>
        </w:rPr>
        <w:t>ntact immune system was present. When AXI was replaced with our in-house VEGFR2 inhibitor SN35332, we found the combination also provided the synergistic effect, which suggests the combined effects were likely pathway specific rather than drug specific. Pa</w:t>
      </w:r>
      <w:r w:rsidRPr="00EE3FD3">
        <w:rPr>
          <w:rFonts w:ascii="Arial" w:hAnsi="Arial" w:cs="Arial"/>
          <w:sz w:val="20"/>
        </w:rPr>
        <w:t>thway-related synthetic lethality was identified in two key pathways of the tumour cells when VEM and AXI were combined: upregulation of the endothelial-mesenchymal transition and downregulation of the p53 pathways. Furthermore, synthetic lethality was als</w:t>
      </w:r>
      <w:r w:rsidRPr="00EE3FD3">
        <w:rPr>
          <w:rFonts w:ascii="Arial" w:hAnsi="Arial" w:cs="Arial"/>
          <w:sz w:val="20"/>
        </w:rPr>
        <w:t xml:space="preserve">o found in the tumour stroma in the combination group where the two essential tumour-promoting pathways TGF-beta and angiogenesis were significantly downregulated. Consistent evidence was also observed when tumour sections were examined using </w:t>
      </w:r>
      <w:proofErr w:type="spellStart"/>
      <w:r w:rsidRPr="00EE3FD3">
        <w:rPr>
          <w:rFonts w:ascii="Arial" w:hAnsi="Arial" w:cs="Arial"/>
          <w:sz w:val="20"/>
        </w:rPr>
        <w:t>RNAscope</w:t>
      </w:r>
      <w:proofErr w:type="spellEnd"/>
      <w:r w:rsidRPr="00EE3FD3">
        <w:rPr>
          <w:rFonts w:ascii="Arial" w:hAnsi="Arial" w:cs="Arial"/>
          <w:sz w:val="20"/>
        </w:rPr>
        <w:t>. Fin</w:t>
      </w:r>
      <w:r w:rsidRPr="00EE3FD3">
        <w:rPr>
          <w:rFonts w:ascii="Arial" w:hAnsi="Arial" w:cs="Arial"/>
          <w:sz w:val="20"/>
        </w:rPr>
        <w:t xml:space="preserve">ally, we developed a cell line acquired resistant to </w:t>
      </w:r>
      <w:proofErr w:type="spellStart"/>
      <w:r w:rsidRPr="00EE3FD3">
        <w:rPr>
          <w:rFonts w:ascii="Arial" w:hAnsi="Arial" w:cs="Arial"/>
          <w:sz w:val="20"/>
        </w:rPr>
        <w:t>vemurafenib</w:t>
      </w:r>
      <w:proofErr w:type="spellEnd"/>
      <w:r w:rsidRPr="00EE3FD3">
        <w:rPr>
          <w:rFonts w:ascii="Arial" w:hAnsi="Arial" w:cs="Arial"/>
          <w:sz w:val="20"/>
        </w:rPr>
        <w:t xml:space="preserve"> and showed that the combination of VEM + AXI </w:t>
      </w:r>
      <w:proofErr w:type="spellStart"/>
      <w:r w:rsidRPr="00EE3FD3">
        <w:rPr>
          <w:rFonts w:ascii="Arial" w:hAnsi="Arial" w:cs="Arial"/>
          <w:sz w:val="20"/>
        </w:rPr>
        <w:t>resensitized</w:t>
      </w:r>
      <w:proofErr w:type="spellEnd"/>
      <w:r w:rsidRPr="00EE3FD3">
        <w:rPr>
          <w:rFonts w:ascii="Arial" w:hAnsi="Arial" w:cs="Arial"/>
          <w:sz w:val="20"/>
        </w:rPr>
        <w:t xml:space="preserve"> the tumours to BRAF inhibition therapy.    </w:t>
      </w:r>
    </w:p>
    <w:p w:rsidR="004F6BFD" w:rsidRPr="00EE3FD3" w:rsidRDefault="00EE3FD3">
      <w:pPr>
        <w:shd w:val="clear" w:color="auto" w:fill="FFFFFF"/>
        <w:jc w:val="both"/>
        <w:rPr>
          <w:rFonts w:ascii="Arial" w:hAnsi="Arial" w:cs="Arial"/>
          <w:sz w:val="20"/>
        </w:rPr>
      </w:pPr>
      <w:r w:rsidRPr="00EE3FD3">
        <w:rPr>
          <w:rFonts w:ascii="Arial" w:hAnsi="Arial" w:cs="Arial"/>
          <w:b/>
          <w:sz w:val="20"/>
        </w:rPr>
        <w:t>Conclusion </w:t>
      </w:r>
      <w:r w:rsidRPr="00EE3FD3">
        <w:rPr>
          <w:rFonts w:ascii="Arial" w:hAnsi="Arial" w:cs="Arial"/>
          <w:sz w:val="20"/>
        </w:rPr>
        <w:t>Together, this study suggests an important link between the VEGF axis and BRAF</w:t>
      </w:r>
      <w:r w:rsidRPr="00EE3FD3">
        <w:rPr>
          <w:rFonts w:ascii="Arial" w:hAnsi="Arial" w:cs="Arial"/>
          <w:sz w:val="20"/>
        </w:rPr>
        <w:t xml:space="preserve"> signalling in melanoma biology and co-targeting those two axes could enhance the efficacy of BRAF inhibition therapy not only in BRAF-mutant but also in BRAF wild-type tumours.</w:t>
      </w:r>
    </w:p>
    <w:p w:rsidR="004F6BFD" w:rsidRPr="00EE3FD3" w:rsidRDefault="004F6BFD">
      <w:pPr>
        <w:rPr>
          <w:rFonts w:ascii="Arial" w:hAnsi="Arial" w:cs="Arial"/>
          <w:sz w:val="20"/>
        </w:rPr>
      </w:pPr>
    </w:p>
    <w:p w:rsidR="004F6BFD" w:rsidRPr="00EE3FD3" w:rsidRDefault="004F6BFD">
      <w:pPr>
        <w:rPr>
          <w:rFonts w:ascii="Arial" w:hAnsi="Arial" w:cs="Arial"/>
          <w:sz w:val="20"/>
        </w:rPr>
        <w:sectPr w:rsidR="004F6BFD" w:rsidRPr="00EE3FD3">
          <w:pgSz w:w="12240" w:h="15840"/>
          <w:pgMar w:top="1133" w:right="850" w:bottom="1133" w:left="1700" w:header="708" w:footer="708" w:gutter="0"/>
          <w:cols w:space="720"/>
        </w:sectPr>
      </w:pPr>
    </w:p>
    <w:p w:rsidR="004F6BFD" w:rsidRPr="00EE3FD3" w:rsidRDefault="004F6BFD">
      <w:pPr>
        <w:rPr>
          <w:rFonts w:ascii="Arial" w:hAnsi="Arial" w:cs="Arial"/>
          <w:sz w:val="20"/>
        </w:rPr>
      </w:pPr>
    </w:p>
    <w:p w:rsidR="004F6BFD" w:rsidRPr="00EE3FD3" w:rsidRDefault="00EE3FD3">
      <w:pPr>
        <w:pStyle w:val="AbstractBookSessionDetails"/>
        <w:rPr>
          <w:rFonts w:ascii="Arial" w:hAnsi="Arial" w:cs="Arial"/>
          <w:sz w:val="20"/>
        </w:rPr>
      </w:pPr>
      <w:r w:rsidRPr="00EE3FD3">
        <w:rPr>
          <w:rFonts w:ascii="Arial" w:hAnsi="Arial" w:cs="Arial"/>
          <w:sz w:val="20"/>
        </w:rPr>
        <w:t>Session five, August 25, 2018, 9:00 AM - 10:40 AM</w:t>
      </w:r>
    </w:p>
    <w:p w:rsidR="004F6BFD" w:rsidRPr="00EE3FD3" w:rsidRDefault="004F6BFD">
      <w:pPr>
        <w:pStyle w:val="AbstractBookBaseParagraph"/>
        <w:rPr>
          <w:rFonts w:ascii="Arial" w:hAnsi="Arial" w:cs="Arial"/>
          <w:sz w:val="20"/>
        </w:rPr>
      </w:pPr>
    </w:p>
    <w:p w:rsidR="004F6BFD" w:rsidRDefault="00EE3FD3" w:rsidP="00EE3FD3">
      <w:pPr>
        <w:rPr>
          <w:rFonts w:ascii="Arial" w:hAnsi="Arial" w:cs="Arial"/>
          <w:b/>
          <w:sz w:val="24"/>
        </w:rPr>
      </w:pPr>
      <w:r w:rsidRPr="00EE3FD3">
        <w:rPr>
          <w:rFonts w:ascii="Arial" w:hAnsi="Arial" w:cs="Arial"/>
          <w:b/>
          <w:sz w:val="24"/>
        </w:rPr>
        <w:t xml:space="preserve">Targeting </w:t>
      </w:r>
      <w:r w:rsidRPr="00EE3FD3">
        <w:rPr>
          <w:rFonts w:ascii="Arial" w:hAnsi="Arial" w:cs="Arial"/>
          <w:b/>
          <w:sz w:val="24"/>
        </w:rPr>
        <w:t xml:space="preserve">DNA-dependent protein kinase for tumour-selective </w:t>
      </w:r>
      <w:proofErr w:type="spellStart"/>
      <w:r w:rsidRPr="00EE3FD3">
        <w:rPr>
          <w:rFonts w:ascii="Arial" w:hAnsi="Arial" w:cs="Arial"/>
          <w:b/>
          <w:sz w:val="24"/>
        </w:rPr>
        <w:t>radiosensitisation</w:t>
      </w:r>
      <w:proofErr w:type="spellEnd"/>
    </w:p>
    <w:p w:rsidR="00EE3FD3" w:rsidRPr="00EE3FD3" w:rsidRDefault="00EE3FD3" w:rsidP="00EE3FD3">
      <w:pPr>
        <w:rPr>
          <w:rFonts w:ascii="Arial" w:hAnsi="Arial" w:cs="Arial"/>
          <w:b/>
          <w:sz w:val="24"/>
        </w:rPr>
      </w:pPr>
    </w:p>
    <w:p w:rsidR="004F6BFD" w:rsidRPr="00EE3FD3" w:rsidRDefault="00EE3FD3" w:rsidP="00EE3FD3">
      <w:pPr>
        <w:spacing w:after="120"/>
        <w:rPr>
          <w:rFonts w:ascii="Arial" w:hAnsi="Arial" w:cs="Arial"/>
          <w:sz w:val="20"/>
          <w:u w:val="single"/>
          <w:vertAlign w:val="superscript"/>
        </w:rPr>
      </w:pPr>
      <w:r w:rsidRPr="00EE3FD3">
        <w:rPr>
          <w:rFonts w:ascii="Arial" w:hAnsi="Arial" w:cs="Arial"/>
          <w:b/>
          <w:sz w:val="20"/>
        </w:rPr>
        <w:t>Wilson, William R.</w:t>
      </w:r>
      <w:r w:rsidRPr="00EE3FD3">
        <w:rPr>
          <w:rFonts w:ascii="Arial" w:hAnsi="Arial" w:cs="Arial"/>
          <w:sz w:val="20"/>
          <w:vertAlign w:val="superscript"/>
        </w:rPr>
        <w:t>1</w:t>
      </w:r>
      <w:r w:rsidRPr="00EE3FD3">
        <w:rPr>
          <w:rFonts w:ascii="Arial" w:hAnsi="Arial" w:cs="Arial"/>
          <w:b/>
          <w:sz w:val="20"/>
          <w:vertAlign w:val="superscript"/>
        </w:rPr>
        <w:t>,</w:t>
      </w:r>
      <w:r w:rsidRPr="00EE3FD3">
        <w:rPr>
          <w:rFonts w:ascii="Arial" w:hAnsi="Arial" w:cs="Arial"/>
          <w:sz w:val="20"/>
          <w:vertAlign w:val="superscript"/>
        </w:rPr>
        <w:t>2</w:t>
      </w:r>
      <w:r w:rsidRPr="00EE3FD3">
        <w:rPr>
          <w:rFonts w:ascii="Arial" w:hAnsi="Arial" w:cs="Arial"/>
          <w:sz w:val="20"/>
        </w:rPr>
        <w:t>, Wong, Way W.</w:t>
      </w:r>
      <w:r w:rsidRPr="00EE3FD3">
        <w:rPr>
          <w:rFonts w:ascii="Arial" w:hAnsi="Arial" w:cs="Arial"/>
          <w:sz w:val="20"/>
          <w:vertAlign w:val="superscript"/>
        </w:rPr>
        <w:t>1</w:t>
      </w:r>
      <w:r w:rsidRPr="00EE3FD3">
        <w:rPr>
          <w:rFonts w:ascii="Arial" w:hAnsi="Arial" w:cs="Arial"/>
          <w:sz w:val="20"/>
        </w:rPr>
        <w:t>, Dickson, Benjamin D.</w:t>
      </w:r>
      <w:r w:rsidRPr="00EE3FD3">
        <w:rPr>
          <w:rFonts w:ascii="Arial" w:hAnsi="Arial" w:cs="Arial"/>
          <w:sz w:val="20"/>
          <w:vertAlign w:val="superscript"/>
        </w:rPr>
        <w:t>1</w:t>
      </w:r>
      <w:r w:rsidRPr="00EE3FD3">
        <w:rPr>
          <w:rFonts w:ascii="Arial" w:hAnsi="Arial" w:cs="Arial"/>
          <w:sz w:val="20"/>
        </w:rPr>
        <w:t>, Hunter, Francis W.</w:t>
      </w:r>
      <w:r w:rsidRPr="00EE3FD3">
        <w:rPr>
          <w:rFonts w:ascii="Arial" w:hAnsi="Arial" w:cs="Arial"/>
          <w:sz w:val="20"/>
          <w:vertAlign w:val="superscript"/>
        </w:rPr>
        <w:t>1,2</w:t>
      </w:r>
      <w:r w:rsidRPr="00EE3FD3">
        <w:rPr>
          <w:rFonts w:ascii="Arial" w:hAnsi="Arial" w:cs="Arial"/>
          <w:sz w:val="20"/>
        </w:rPr>
        <w:t xml:space="preserve">, Lee, Tet-Woo </w:t>
      </w:r>
      <w:r w:rsidRPr="00EE3FD3">
        <w:rPr>
          <w:rFonts w:ascii="Arial" w:hAnsi="Arial" w:cs="Arial"/>
          <w:sz w:val="20"/>
          <w:vertAlign w:val="superscript"/>
        </w:rPr>
        <w:t>1</w:t>
      </w:r>
      <w:r w:rsidRPr="00EE3FD3">
        <w:rPr>
          <w:rFonts w:ascii="Arial" w:hAnsi="Arial" w:cs="Arial"/>
          <w:sz w:val="20"/>
        </w:rPr>
        <w:t>,</w:t>
      </w:r>
      <w:r w:rsidRPr="00EE3FD3">
        <w:rPr>
          <w:rFonts w:ascii="Arial" w:hAnsi="Arial" w:cs="Arial"/>
          <w:sz w:val="20"/>
          <w:vertAlign w:val="superscript"/>
        </w:rPr>
        <w:t xml:space="preserve">  </w:t>
      </w:r>
      <w:r w:rsidRPr="00EE3FD3">
        <w:rPr>
          <w:rFonts w:ascii="Arial" w:hAnsi="Arial" w:cs="Arial"/>
          <w:sz w:val="20"/>
        </w:rPr>
        <w:t>and Hay, Michael P.</w:t>
      </w:r>
      <w:r w:rsidRPr="00EE3FD3">
        <w:rPr>
          <w:rFonts w:ascii="Arial" w:hAnsi="Arial" w:cs="Arial"/>
          <w:sz w:val="20"/>
          <w:vertAlign w:val="superscript"/>
        </w:rPr>
        <w:t xml:space="preserve"> 1,2</w:t>
      </w:r>
      <w:r w:rsidRPr="00EE3FD3">
        <w:rPr>
          <w:rFonts w:ascii="Arial" w:hAnsi="Arial" w:cs="Arial"/>
          <w:sz w:val="20"/>
        </w:rPr>
        <w:t xml:space="preserve">  </w:t>
      </w:r>
    </w:p>
    <w:p w:rsidR="004F6BFD" w:rsidRPr="00EE3FD3" w:rsidRDefault="00EE3FD3">
      <w:pPr>
        <w:rPr>
          <w:rFonts w:ascii="Arial" w:hAnsi="Arial" w:cs="Arial"/>
          <w:i/>
          <w:sz w:val="20"/>
        </w:rPr>
      </w:pPr>
      <w:r w:rsidRPr="00EE3FD3">
        <w:rPr>
          <w:rFonts w:ascii="Arial" w:hAnsi="Arial" w:cs="Arial"/>
          <w:i/>
          <w:sz w:val="20"/>
          <w:vertAlign w:val="superscript"/>
        </w:rPr>
        <w:t>1</w:t>
      </w:r>
      <w:r w:rsidRPr="00EE3FD3">
        <w:rPr>
          <w:rFonts w:ascii="Arial" w:hAnsi="Arial" w:cs="Arial"/>
          <w:i/>
          <w:sz w:val="20"/>
        </w:rPr>
        <w:t xml:space="preserve">Auckland Cancer Society Research Centre, University of Auckland, Auckland, New Zealand. </w:t>
      </w:r>
    </w:p>
    <w:p w:rsidR="004F6BFD" w:rsidRPr="00EE3FD3" w:rsidRDefault="00EE3FD3">
      <w:pPr>
        <w:rPr>
          <w:rFonts w:ascii="Arial" w:hAnsi="Arial" w:cs="Arial"/>
          <w:i/>
          <w:sz w:val="20"/>
          <w:vertAlign w:val="superscript"/>
        </w:rPr>
      </w:pPr>
      <w:r w:rsidRPr="00EE3FD3">
        <w:rPr>
          <w:rFonts w:ascii="Arial" w:hAnsi="Arial" w:cs="Arial"/>
          <w:i/>
          <w:sz w:val="20"/>
          <w:vertAlign w:val="superscript"/>
        </w:rPr>
        <w:t>2</w:t>
      </w:r>
      <w:r w:rsidRPr="00EE3FD3">
        <w:rPr>
          <w:rFonts w:ascii="Arial" w:hAnsi="Arial" w:cs="Arial"/>
          <w:i/>
          <w:sz w:val="20"/>
        </w:rPr>
        <w:t xml:space="preserve">Maurice Wilkins Centre for Molecular </w:t>
      </w:r>
      <w:proofErr w:type="spellStart"/>
      <w:r w:rsidRPr="00EE3FD3">
        <w:rPr>
          <w:rFonts w:ascii="Arial" w:hAnsi="Arial" w:cs="Arial"/>
          <w:i/>
          <w:sz w:val="20"/>
        </w:rPr>
        <w:t>Biodiscovery</w:t>
      </w:r>
      <w:proofErr w:type="spellEnd"/>
      <w:r w:rsidRPr="00EE3FD3">
        <w:rPr>
          <w:rFonts w:ascii="Arial" w:hAnsi="Arial" w:cs="Arial"/>
          <w:i/>
          <w:sz w:val="20"/>
        </w:rPr>
        <w:t>, University of Auckland, Auckland, New Zealand.</w:t>
      </w:r>
      <w:r w:rsidRPr="00EE3FD3">
        <w:rPr>
          <w:rFonts w:ascii="Arial" w:hAnsi="Arial" w:cs="Arial"/>
          <w:i/>
          <w:sz w:val="20"/>
          <w:vertAlign w:val="superscript"/>
        </w:rPr>
        <w:t xml:space="preserve"> </w:t>
      </w:r>
    </w:p>
    <w:p w:rsidR="004F6BFD" w:rsidRPr="00EE3FD3" w:rsidRDefault="004F6BFD">
      <w:pPr>
        <w:jc w:val="center"/>
        <w:rPr>
          <w:rFonts w:ascii="Arial" w:hAnsi="Arial" w:cs="Arial"/>
          <w:sz w:val="20"/>
        </w:rPr>
      </w:pPr>
    </w:p>
    <w:p w:rsidR="004F6BFD" w:rsidRPr="00EE3FD3" w:rsidRDefault="00EE3FD3">
      <w:pPr>
        <w:rPr>
          <w:rFonts w:ascii="Arial" w:hAnsi="Arial" w:cs="Arial"/>
          <w:sz w:val="20"/>
        </w:rPr>
        <w:sectPr w:rsidR="004F6BFD" w:rsidRPr="00EE3FD3">
          <w:pgSz w:w="12240" w:h="15840"/>
          <w:pgMar w:top="1133" w:right="850" w:bottom="1133" w:left="1700" w:header="708" w:footer="708" w:gutter="0"/>
          <w:cols w:space="720"/>
        </w:sectPr>
      </w:pPr>
      <w:r w:rsidRPr="00EE3FD3">
        <w:rPr>
          <w:rFonts w:ascii="Arial" w:hAnsi="Arial" w:cs="Arial"/>
          <w:sz w:val="20"/>
        </w:rPr>
        <w:t>The ability of cells to repair DNA double strand brea</w:t>
      </w:r>
      <w:r w:rsidRPr="00EE3FD3">
        <w:rPr>
          <w:rFonts w:ascii="Arial" w:hAnsi="Arial" w:cs="Arial"/>
          <w:sz w:val="20"/>
        </w:rPr>
        <w:t xml:space="preserve">ks has a major influence on the sensitivity of individual tumours to radiotherapy. DNA-dependent protein kinase (DNA-PK) plays a key role in non-homologous end-joining repair of radiation-induced double strand breaks, but its exploitation as a target for </w:t>
      </w:r>
      <w:proofErr w:type="spellStart"/>
      <w:r w:rsidRPr="00EE3FD3">
        <w:rPr>
          <w:rFonts w:ascii="Arial" w:hAnsi="Arial" w:cs="Arial"/>
          <w:sz w:val="20"/>
        </w:rPr>
        <w:t>r</w:t>
      </w:r>
      <w:r w:rsidRPr="00EE3FD3">
        <w:rPr>
          <w:rFonts w:ascii="Arial" w:hAnsi="Arial" w:cs="Arial"/>
          <w:sz w:val="20"/>
        </w:rPr>
        <w:t>adiosensitisation</w:t>
      </w:r>
      <w:proofErr w:type="spellEnd"/>
      <w:r w:rsidRPr="00EE3FD3">
        <w:rPr>
          <w:rFonts w:ascii="Arial" w:hAnsi="Arial" w:cs="Arial"/>
          <w:sz w:val="20"/>
        </w:rPr>
        <w:t xml:space="preserve"> may be limited by effects on normal tissue within the radiation field. With the objective of exploiting tumour hypoxia to achieve tumour selectivity we synthesised SN38023, a 2-nitroimidazolyl prodrug of the DNA-PK inhibitor (DNA-</w:t>
      </w:r>
      <w:proofErr w:type="spellStart"/>
      <w:r w:rsidRPr="00EE3FD3">
        <w:rPr>
          <w:rFonts w:ascii="Arial" w:hAnsi="Arial" w:cs="Arial"/>
          <w:sz w:val="20"/>
        </w:rPr>
        <w:t>PKi</w:t>
      </w:r>
      <w:proofErr w:type="spellEnd"/>
      <w:r w:rsidRPr="00EE3FD3">
        <w:rPr>
          <w:rFonts w:ascii="Arial" w:hAnsi="Arial" w:cs="Arial"/>
          <w:sz w:val="20"/>
        </w:rPr>
        <w:t>) IC8</w:t>
      </w:r>
      <w:r w:rsidRPr="00EE3FD3">
        <w:rPr>
          <w:rFonts w:ascii="Arial" w:hAnsi="Arial" w:cs="Arial"/>
          <w:sz w:val="20"/>
        </w:rPr>
        <w:t xml:space="preserve">7361. SN38023 was markedly deactivated (800-fold) relative to IC87361 in a cell-free assay for DNA-PK catalytic activity (IC50 560 vs 0.7 </w:t>
      </w:r>
      <w:proofErr w:type="spellStart"/>
      <w:r w:rsidRPr="00EE3FD3">
        <w:rPr>
          <w:rFonts w:ascii="Arial" w:hAnsi="Arial" w:cs="Arial"/>
          <w:sz w:val="20"/>
        </w:rPr>
        <w:t>nM</w:t>
      </w:r>
      <w:proofErr w:type="spellEnd"/>
      <w:r w:rsidRPr="00EE3FD3">
        <w:rPr>
          <w:rFonts w:ascii="Arial" w:hAnsi="Arial" w:cs="Arial"/>
          <w:sz w:val="20"/>
        </w:rPr>
        <w:t>). We showed that metabolic reduction of SN38203 in HCT116/POR cells results in hypoxia-dependent formation of IC873</w:t>
      </w:r>
      <w:r w:rsidRPr="00EE3FD3">
        <w:rPr>
          <w:rFonts w:ascii="Arial" w:hAnsi="Arial" w:cs="Arial"/>
          <w:sz w:val="20"/>
        </w:rPr>
        <w:t>61. IC87361 (10 µM, 1 hr before and 30 min after irradiation) strongly inhibited DNA-PK</w:t>
      </w:r>
      <w:r w:rsidRPr="00EE3FD3">
        <w:rPr>
          <w:rFonts w:ascii="Arial" w:hAnsi="Arial" w:cs="Arial"/>
          <w:sz w:val="20"/>
          <w:vertAlign w:val="subscript"/>
        </w:rPr>
        <w:t>CS</w:t>
      </w:r>
      <w:r w:rsidRPr="00EE3FD3">
        <w:rPr>
          <w:rFonts w:ascii="Arial" w:hAnsi="Arial" w:cs="Arial"/>
          <w:sz w:val="20"/>
        </w:rPr>
        <w:t xml:space="preserve"> Ser2056 </w:t>
      </w:r>
      <w:proofErr w:type="spellStart"/>
      <w:r w:rsidRPr="00EE3FD3">
        <w:rPr>
          <w:rFonts w:ascii="Arial" w:hAnsi="Arial" w:cs="Arial"/>
          <w:sz w:val="20"/>
        </w:rPr>
        <w:t>autophosphorylation</w:t>
      </w:r>
      <w:proofErr w:type="spellEnd"/>
      <w:r w:rsidRPr="00EE3FD3">
        <w:rPr>
          <w:rFonts w:ascii="Arial" w:hAnsi="Arial" w:cs="Arial"/>
          <w:sz w:val="20"/>
        </w:rPr>
        <w:t xml:space="preserve"> in </w:t>
      </w:r>
      <w:proofErr w:type="spellStart"/>
      <w:r w:rsidRPr="00EE3FD3">
        <w:rPr>
          <w:rFonts w:ascii="Arial" w:hAnsi="Arial" w:cs="Arial"/>
          <w:sz w:val="20"/>
        </w:rPr>
        <w:t>oxic</w:t>
      </w:r>
      <w:proofErr w:type="spellEnd"/>
      <w:r w:rsidRPr="00EE3FD3">
        <w:rPr>
          <w:rFonts w:ascii="Arial" w:hAnsi="Arial" w:cs="Arial"/>
          <w:sz w:val="20"/>
        </w:rPr>
        <w:t xml:space="preserve"> UT-SCC-54 and HCT116/POR cell lines by western immunoblotting. In </w:t>
      </w:r>
      <w:proofErr w:type="spellStart"/>
      <w:r w:rsidRPr="00EE3FD3">
        <w:rPr>
          <w:rFonts w:ascii="Arial" w:hAnsi="Arial" w:cs="Arial"/>
          <w:sz w:val="20"/>
        </w:rPr>
        <w:t>clonogenic</w:t>
      </w:r>
      <w:proofErr w:type="spellEnd"/>
      <w:r w:rsidRPr="00EE3FD3">
        <w:rPr>
          <w:rFonts w:ascii="Arial" w:hAnsi="Arial" w:cs="Arial"/>
          <w:sz w:val="20"/>
        </w:rPr>
        <w:t xml:space="preserve"> assays, IC87361 markedly </w:t>
      </w:r>
      <w:proofErr w:type="spellStart"/>
      <w:r w:rsidRPr="00EE3FD3">
        <w:rPr>
          <w:rFonts w:ascii="Arial" w:hAnsi="Arial" w:cs="Arial"/>
          <w:sz w:val="20"/>
        </w:rPr>
        <w:t>radiosensitised</w:t>
      </w:r>
      <w:proofErr w:type="spellEnd"/>
      <w:r w:rsidRPr="00EE3FD3">
        <w:rPr>
          <w:rFonts w:ascii="Arial" w:hAnsi="Arial" w:cs="Arial"/>
          <w:sz w:val="20"/>
        </w:rPr>
        <w:t xml:space="preserve"> </w:t>
      </w:r>
      <w:proofErr w:type="spellStart"/>
      <w:r w:rsidRPr="00EE3FD3">
        <w:rPr>
          <w:rFonts w:ascii="Arial" w:hAnsi="Arial" w:cs="Arial"/>
          <w:sz w:val="20"/>
        </w:rPr>
        <w:t>oxic</w:t>
      </w:r>
      <w:proofErr w:type="spellEnd"/>
      <w:r w:rsidRPr="00EE3FD3">
        <w:rPr>
          <w:rFonts w:ascii="Arial" w:hAnsi="Arial" w:cs="Arial"/>
          <w:sz w:val="20"/>
        </w:rPr>
        <w:t xml:space="preserve"> UT-SCC-</w:t>
      </w:r>
      <w:r w:rsidRPr="00EE3FD3">
        <w:rPr>
          <w:rFonts w:ascii="Arial" w:hAnsi="Arial" w:cs="Arial"/>
          <w:sz w:val="20"/>
        </w:rPr>
        <w:t>54C, HCT116 and HCT116/POR cells incubated with the DNA-</w:t>
      </w:r>
      <w:proofErr w:type="spellStart"/>
      <w:r w:rsidRPr="00EE3FD3">
        <w:rPr>
          <w:rFonts w:ascii="Arial" w:hAnsi="Arial" w:cs="Arial"/>
          <w:sz w:val="20"/>
        </w:rPr>
        <w:t>PKi</w:t>
      </w:r>
      <w:proofErr w:type="spellEnd"/>
      <w:r w:rsidRPr="00EE3FD3">
        <w:rPr>
          <w:rFonts w:ascii="Arial" w:hAnsi="Arial" w:cs="Arial"/>
          <w:sz w:val="20"/>
        </w:rPr>
        <w:t xml:space="preserve"> for 24 hr post-irradiation (</w:t>
      </w:r>
      <w:proofErr w:type="spellStart"/>
      <w:r w:rsidRPr="00EE3FD3">
        <w:rPr>
          <w:rFonts w:ascii="Arial" w:hAnsi="Arial" w:cs="Arial"/>
          <w:sz w:val="20"/>
        </w:rPr>
        <w:t>sensitiser</w:t>
      </w:r>
      <w:proofErr w:type="spellEnd"/>
      <w:r w:rsidRPr="00EE3FD3">
        <w:rPr>
          <w:rFonts w:ascii="Arial" w:hAnsi="Arial" w:cs="Arial"/>
          <w:sz w:val="20"/>
        </w:rPr>
        <w:t xml:space="preserve"> enhancement ratios, SER, of 2.05, 1.73 and 2.08, respectively). In contrast prodrug SN38023 had no significant effect on radiation-induced DNA-</w:t>
      </w:r>
      <w:proofErr w:type="spellStart"/>
      <w:r w:rsidRPr="00EE3FD3">
        <w:rPr>
          <w:rFonts w:ascii="Arial" w:hAnsi="Arial" w:cs="Arial"/>
          <w:sz w:val="20"/>
        </w:rPr>
        <w:t>PK</w:t>
      </w:r>
      <w:r w:rsidRPr="00EE3FD3">
        <w:rPr>
          <w:rFonts w:ascii="Arial" w:hAnsi="Arial" w:cs="Arial"/>
          <w:sz w:val="20"/>
          <w:vertAlign w:val="subscript"/>
        </w:rPr>
        <w:t>cs</w:t>
      </w:r>
      <w:proofErr w:type="spellEnd"/>
      <w:r w:rsidRPr="00EE3FD3">
        <w:rPr>
          <w:rFonts w:ascii="Arial" w:hAnsi="Arial" w:cs="Arial"/>
          <w:sz w:val="20"/>
        </w:rPr>
        <w:t xml:space="preserve"> phosphory</w:t>
      </w:r>
      <w:r w:rsidRPr="00EE3FD3">
        <w:rPr>
          <w:rFonts w:ascii="Arial" w:hAnsi="Arial" w:cs="Arial"/>
          <w:sz w:val="20"/>
        </w:rPr>
        <w:t xml:space="preserve">lation or cell killing under </w:t>
      </w:r>
      <w:proofErr w:type="spellStart"/>
      <w:r w:rsidRPr="00EE3FD3">
        <w:rPr>
          <w:rFonts w:ascii="Arial" w:hAnsi="Arial" w:cs="Arial"/>
          <w:sz w:val="20"/>
        </w:rPr>
        <w:t>oxic</w:t>
      </w:r>
      <w:proofErr w:type="spellEnd"/>
      <w:r w:rsidRPr="00EE3FD3">
        <w:rPr>
          <w:rFonts w:ascii="Arial" w:hAnsi="Arial" w:cs="Arial"/>
          <w:sz w:val="20"/>
        </w:rPr>
        <w:t xml:space="preserve"> conditions, but was highly active following incubation with cells for 3 hr under anoxia prior to irradiation (e.g. SER 1.54 and 2.28 for UT-SCC-54C and HCT116/POR cells, respectively). We also demonstrated that the prodrug</w:t>
      </w:r>
      <w:r w:rsidRPr="00EE3FD3">
        <w:rPr>
          <w:rFonts w:ascii="Arial" w:hAnsi="Arial" w:cs="Arial"/>
          <w:sz w:val="20"/>
        </w:rPr>
        <w:t xml:space="preserve"> </w:t>
      </w:r>
      <w:proofErr w:type="spellStart"/>
      <w:r w:rsidRPr="00EE3FD3">
        <w:rPr>
          <w:rFonts w:ascii="Arial" w:hAnsi="Arial" w:cs="Arial"/>
          <w:sz w:val="20"/>
        </w:rPr>
        <w:t>radiosensitises</w:t>
      </w:r>
      <w:proofErr w:type="spellEnd"/>
      <w:r w:rsidRPr="00EE3FD3">
        <w:rPr>
          <w:rFonts w:ascii="Arial" w:hAnsi="Arial" w:cs="Arial"/>
          <w:sz w:val="20"/>
        </w:rPr>
        <w:t xml:space="preserve"> hypoxic cells efficiently in an HCT116 multicellular spheroid co-culture model, but the latter studies showed the lack of a bystander effect (i.e. inability of the released DNA-</w:t>
      </w:r>
      <w:proofErr w:type="spellStart"/>
      <w:r w:rsidRPr="00EE3FD3">
        <w:rPr>
          <w:rFonts w:ascii="Arial" w:hAnsi="Arial" w:cs="Arial"/>
          <w:sz w:val="20"/>
        </w:rPr>
        <w:t>PKi</w:t>
      </w:r>
      <w:proofErr w:type="spellEnd"/>
      <w:r w:rsidRPr="00EE3FD3">
        <w:rPr>
          <w:rFonts w:ascii="Arial" w:hAnsi="Arial" w:cs="Arial"/>
          <w:sz w:val="20"/>
        </w:rPr>
        <w:t xml:space="preserve"> to diffuse out of cells in which it is generated). This li</w:t>
      </w:r>
      <w:r w:rsidRPr="00EE3FD3">
        <w:rPr>
          <w:rFonts w:ascii="Arial" w:hAnsi="Arial" w:cs="Arial"/>
          <w:sz w:val="20"/>
        </w:rPr>
        <w:t>kely reflects the high intracellular/extracellular concentration ratio (~400) of IC87361 in monolayer cultures, determined by HPLC, whether generated from SN38023 under anoxia or during incubation with the DNA-</w:t>
      </w:r>
      <w:proofErr w:type="spellStart"/>
      <w:r w:rsidRPr="00EE3FD3">
        <w:rPr>
          <w:rFonts w:ascii="Arial" w:hAnsi="Arial" w:cs="Arial"/>
          <w:sz w:val="20"/>
        </w:rPr>
        <w:t>PKi</w:t>
      </w:r>
      <w:proofErr w:type="spellEnd"/>
      <w:r w:rsidRPr="00EE3FD3">
        <w:rPr>
          <w:rFonts w:ascii="Arial" w:hAnsi="Arial" w:cs="Arial"/>
          <w:sz w:val="20"/>
        </w:rPr>
        <w:t xml:space="preserve"> itself. This study has demonstrated the po</w:t>
      </w:r>
      <w:r w:rsidRPr="00EE3FD3">
        <w:rPr>
          <w:rFonts w:ascii="Arial" w:hAnsi="Arial" w:cs="Arial"/>
          <w:sz w:val="20"/>
        </w:rPr>
        <w:t>tential for hypoxia-activated prodrugs of DNA-</w:t>
      </w:r>
      <w:proofErr w:type="spellStart"/>
      <w:r w:rsidRPr="00EE3FD3">
        <w:rPr>
          <w:rFonts w:ascii="Arial" w:hAnsi="Arial" w:cs="Arial"/>
          <w:sz w:val="20"/>
        </w:rPr>
        <w:t>PKi</w:t>
      </w:r>
      <w:proofErr w:type="spellEnd"/>
      <w:r w:rsidRPr="00EE3FD3">
        <w:rPr>
          <w:rFonts w:ascii="Arial" w:hAnsi="Arial" w:cs="Arial"/>
          <w:sz w:val="20"/>
        </w:rPr>
        <w:t xml:space="preserve"> to target selectively the most </w:t>
      </w:r>
      <w:proofErr w:type="spellStart"/>
      <w:r w:rsidRPr="00EE3FD3">
        <w:rPr>
          <w:rFonts w:ascii="Arial" w:hAnsi="Arial" w:cs="Arial"/>
          <w:sz w:val="20"/>
        </w:rPr>
        <w:t>radioresistant</w:t>
      </w:r>
      <w:proofErr w:type="spellEnd"/>
      <w:r w:rsidRPr="00EE3FD3">
        <w:rPr>
          <w:rFonts w:ascii="Arial" w:hAnsi="Arial" w:cs="Arial"/>
          <w:sz w:val="20"/>
        </w:rPr>
        <w:t xml:space="preserve"> (hypoxic) subpopulation within tumours, but has also identified limitations of IC87361 in this context. We are currently exploring novel DNA-</w:t>
      </w:r>
      <w:proofErr w:type="spellStart"/>
      <w:r w:rsidRPr="00EE3FD3">
        <w:rPr>
          <w:rFonts w:ascii="Arial" w:hAnsi="Arial" w:cs="Arial"/>
          <w:sz w:val="20"/>
        </w:rPr>
        <w:t>PKi</w:t>
      </w:r>
      <w:proofErr w:type="spellEnd"/>
      <w:r w:rsidRPr="00EE3FD3">
        <w:rPr>
          <w:rFonts w:ascii="Arial" w:hAnsi="Arial" w:cs="Arial"/>
          <w:sz w:val="20"/>
        </w:rPr>
        <w:t xml:space="preserve"> with potential </w:t>
      </w:r>
      <w:r w:rsidRPr="00EE3FD3">
        <w:rPr>
          <w:rFonts w:ascii="Arial" w:hAnsi="Arial" w:cs="Arial"/>
          <w:sz w:val="20"/>
        </w:rPr>
        <w:t xml:space="preserve">to exploit tumour hypoxia for selective </w:t>
      </w:r>
      <w:proofErr w:type="spellStart"/>
      <w:r w:rsidRPr="00EE3FD3">
        <w:rPr>
          <w:rFonts w:ascii="Arial" w:hAnsi="Arial" w:cs="Arial"/>
          <w:sz w:val="20"/>
        </w:rPr>
        <w:t>radiosensitisation</w:t>
      </w:r>
      <w:proofErr w:type="spellEnd"/>
      <w:r w:rsidRPr="00EE3FD3">
        <w:rPr>
          <w:rFonts w:ascii="Arial" w:hAnsi="Arial" w:cs="Arial"/>
          <w:sz w:val="20"/>
        </w:rPr>
        <w:t xml:space="preserve"> through this prodrug strategy.  </w:t>
      </w:r>
    </w:p>
    <w:p w:rsidR="004F6BFD" w:rsidRPr="00EE3FD3" w:rsidRDefault="004F6BFD">
      <w:pPr>
        <w:rPr>
          <w:rFonts w:ascii="Arial" w:hAnsi="Arial" w:cs="Arial"/>
          <w:sz w:val="20"/>
        </w:rPr>
      </w:pPr>
    </w:p>
    <w:p w:rsidR="004F6BFD" w:rsidRPr="00EE3FD3" w:rsidRDefault="00EE3FD3">
      <w:pPr>
        <w:pStyle w:val="AbstractBookSessionDetails"/>
        <w:rPr>
          <w:rFonts w:ascii="Arial" w:hAnsi="Arial" w:cs="Arial"/>
          <w:sz w:val="20"/>
        </w:rPr>
      </w:pPr>
      <w:r w:rsidRPr="00EE3FD3">
        <w:rPr>
          <w:rFonts w:ascii="Arial" w:hAnsi="Arial" w:cs="Arial"/>
          <w:sz w:val="20"/>
        </w:rPr>
        <w:t>Session six, August 25, 2018, 11:10 AM - 12:50 PM</w:t>
      </w:r>
    </w:p>
    <w:p w:rsidR="00EE3FD3" w:rsidRDefault="00EE3FD3" w:rsidP="00EE3FD3">
      <w:pPr>
        <w:rPr>
          <w:rFonts w:ascii="Arial" w:hAnsi="Arial" w:cs="Arial"/>
          <w:b/>
          <w:sz w:val="24"/>
        </w:rPr>
      </w:pPr>
      <w:r>
        <w:rPr>
          <w:rFonts w:ascii="Arial" w:hAnsi="Arial" w:cs="Arial"/>
          <w:b/>
          <w:sz w:val="24"/>
        </w:rPr>
        <w:t>Investigating</w:t>
      </w:r>
      <w:r w:rsidRPr="00BA6257">
        <w:rPr>
          <w:rFonts w:ascii="Arial" w:hAnsi="Arial" w:cs="Arial"/>
          <w:b/>
          <w:sz w:val="24"/>
        </w:rPr>
        <w:t xml:space="preserve"> Tumour Evolution in a Single Patient</w:t>
      </w:r>
      <w:r>
        <w:rPr>
          <w:rFonts w:ascii="Arial" w:hAnsi="Arial" w:cs="Arial"/>
          <w:b/>
          <w:sz w:val="24"/>
        </w:rPr>
        <w:t xml:space="preserve"> with Disseminated Cancer</w:t>
      </w:r>
    </w:p>
    <w:p w:rsidR="00EE3FD3" w:rsidRDefault="00EE3FD3" w:rsidP="00EE3FD3">
      <w:pPr>
        <w:rPr>
          <w:rFonts w:ascii="Arial" w:hAnsi="Arial" w:cs="Arial"/>
          <w:sz w:val="20"/>
        </w:rPr>
      </w:pPr>
    </w:p>
    <w:p w:rsidR="00EE3FD3" w:rsidRPr="00DE49BB" w:rsidRDefault="00EE3FD3" w:rsidP="00EE3FD3">
      <w:pPr>
        <w:rPr>
          <w:rFonts w:ascii="Arial" w:hAnsi="Arial" w:cs="Arial"/>
          <w:sz w:val="20"/>
        </w:rPr>
      </w:pPr>
      <w:r w:rsidRPr="00EE3FD3">
        <w:rPr>
          <w:rFonts w:ascii="Arial" w:hAnsi="Arial" w:cs="Arial"/>
          <w:b/>
          <w:sz w:val="20"/>
        </w:rPr>
        <w:t>Tamsin Robb</w:t>
      </w:r>
      <w:r w:rsidRPr="00EE3FD3">
        <w:rPr>
          <w:rFonts w:ascii="Arial" w:hAnsi="Arial" w:cs="Arial"/>
          <w:b/>
          <w:sz w:val="20"/>
          <w:vertAlign w:val="superscript"/>
        </w:rPr>
        <w:t>1</w:t>
      </w:r>
      <w:r w:rsidRPr="00DE49BB">
        <w:rPr>
          <w:rFonts w:ascii="Arial" w:hAnsi="Arial" w:cs="Arial"/>
          <w:sz w:val="20"/>
        </w:rPr>
        <w:t>, Cherie Blenkiron</w:t>
      </w:r>
      <w:r w:rsidRPr="00DE49BB">
        <w:rPr>
          <w:rFonts w:ascii="Arial" w:hAnsi="Arial" w:cs="Arial"/>
          <w:sz w:val="20"/>
          <w:vertAlign w:val="superscript"/>
        </w:rPr>
        <w:t>1</w:t>
      </w:r>
      <w:r w:rsidRPr="00DE49BB">
        <w:rPr>
          <w:rFonts w:ascii="Arial" w:hAnsi="Arial" w:cs="Arial"/>
          <w:sz w:val="20"/>
        </w:rPr>
        <w:t>, Peter Tsai</w:t>
      </w:r>
      <w:r w:rsidRPr="00DE49BB">
        <w:rPr>
          <w:rFonts w:ascii="Arial" w:hAnsi="Arial" w:cs="Arial"/>
          <w:sz w:val="20"/>
          <w:vertAlign w:val="superscript"/>
        </w:rPr>
        <w:t>1</w:t>
      </w:r>
      <w:r w:rsidRPr="00DE49BB">
        <w:rPr>
          <w:rFonts w:ascii="Arial" w:hAnsi="Arial" w:cs="Arial"/>
          <w:sz w:val="20"/>
        </w:rPr>
        <w:t>, Kate Parker</w:t>
      </w:r>
      <w:r w:rsidRPr="00DE49BB">
        <w:rPr>
          <w:rFonts w:ascii="Arial" w:hAnsi="Arial" w:cs="Arial"/>
          <w:sz w:val="20"/>
          <w:vertAlign w:val="superscript"/>
        </w:rPr>
        <w:t>1</w:t>
      </w:r>
      <w:r w:rsidRPr="00DE49BB">
        <w:rPr>
          <w:rFonts w:ascii="Arial" w:hAnsi="Arial" w:cs="Arial"/>
          <w:sz w:val="20"/>
        </w:rPr>
        <w:t>, Alexei Drummond</w:t>
      </w:r>
      <w:r w:rsidRPr="00DE49BB">
        <w:rPr>
          <w:rFonts w:ascii="Arial" w:hAnsi="Arial" w:cs="Arial"/>
          <w:sz w:val="20"/>
          <w:vertAlign w:val="superscript"/>
        </w:rPr>
        <w:t>2</w:t>
      </w:r>
      <w:r w:rsidRPr="00DE49BB">
        <w:rPr>
          <w:rFonts w:ascii="Arial" w:hAnsi="Arial" w:cs="Arial"/>
          <w:sz w:val="20"/>
        </w:rPr>
        <w:t xml:space="preserve">, </w:t>
      </w:r>
      <w:proofErr w:type="spellStart"/>
      <w:r w:rsidRPr="00DE49BB">
        <w:rPr>
          <w:rFonts w:ascii="Arial" w:hAnsi="Arial" w:cs="Arial"/>
          <w:sz w:val="20"/>
        </w:rPr>
        <w:t>Mik</w:t>
      </w:r>
      <w:proofErr w:type="spellEnd"/>
      <w:r w:rsidRPr="00DE49BB">
        <w:rPr>
          <w:rFonts w:ascii="Arial" w:hAnsi="Arial" w:cs="Arial"/>
          <w:sz w:val="20"/>
        </w:rPr>
        <w:t xml:space="preserve"> Black</w:t>
      </w:r>
      <w:r w:rsidRPr="00DE49BB">
        <w:rPr>
          <w:rFonts w:ascii="Arial" w:hAnsi="Arial" w:cs="Arial"/>
          <w:sz w:val="20"/>
          <w:vertAlign w:val="superscript"/>
        </w:rPr>
        <w:t>3</w:t>
      </w:r>
      <w:r w:rsidRPr="00DE49BB">
        <w:rPr>
          <w:rFonts w:ascii="Arial" w:hAnsi="Arial" w:cs="Arial"/>
          <w:sz w:val="20"/>
        </w:rPr>
        <w:t>, Alex Gavryushkin</w:t>
      </w:r>
      <w:r w:rsidRPr="00DE49BB">
        <w:rPr>
          <w:rFonts w:ascii="Arial" w:hAnsi="Arial" w:cs="Arial"/>
          <w:sz w:val="20"/>
          <w:vertAlign w:val="superscript"/>
        </w:rPr>
        <w:t>4</w:t>
      </w:r>
      <w:r w:rsidRPr="00DE49BB">
        <w:rPr>
          <w:rFonts w:ascii="Arial" w:hAnsi="Arial" w:cs="Arial"/>
          <w:sz w:val="20"/>
        </w:rPr>
        <w:t>, Braden Woodhouse</w:t>
      </w:r>
      <w:r w:rsidRPr="00DE49BB">
        <w:rPr>
          <w:rFonts w:ascii="Arial" w:hAnsi="Arial" w:cs="Arial"/>
          <w:sz w:val="20"/>
          <w:vertAlign w:val="superscript"/>
        </w:rPr>
        <w:t>1</w:t>
      </w:r>
      <w:r w:rsidRPr="00DE49BB">
        <w:rPr>
          <w:rFonts w:ascii="Arial" w:hAnsi="Arial" w:cs="Arial"/>
          <w:sz w:val="20"/>
        </w:rPr>
        <w:t xml:space="preserve">, </w:t>
      </w:r>
      <w:proofErr w:type="spellStart"/>
      <w:r w:rsidRPr="00DE49BB">
        <w:rPr>
          <w:rFonts w:ascii="Arial" w:hAnsi="Arial" w:cs="Arial"/>
          <w:sz w:val="20"/>
        </w:rPr>
        <w:t>Pascalene</w:t>
      </w:r>
      <w:proofErr w:type="spellEnd"/>
      <w:r w:rsidRPr="00DE49BB">
        <w:rPr>
          <w:rFonts w:ascii="Arial" w:hAnsi="Arial" w:cs="Arial"/>
          <w:sz w:val="20"/>
        </w:rPr>
        <w:t xml:space="preserve"> Houseman</w:t>
      </w:r>
      <w:r w:rsidRPr="00DE49BB">
        <w:rPr>
          <w:rFonts w:ascii="Arial" w:hAnsi="Arial" w:cs="Arial"/>
          <w:sz w:val="20"/>
          <w:vertAlign w:val="superscript"/>
        </w:rPr>
        <w:t>1</w:t>
      </w:r>
      <w:r w:rsidRPr="00DE49BB">
        <w:rPr>
          <w:rFonts w:ascii="Arial" w:hAnsi="Arial" w:cs="Arial"/>
          <w:sz w:val="20"/>
        </w:rPr>
        <w:t>, Esther Coats</w:t>
      </w:r>
      <w:r w:rsidRPr="00DE49BB">
        <w:rPr>
          <w:rFonts w:ascii="Arial" w:hAnsi="Arial" w:cs="Arial"/>
          <w:sz w:val="20"/>
          <w:vertAlign w:val="superscript"/>
        </w:rPr>
        <w:t>1</w:t>
      </w:r>
      <w:r w:rsidRPr="00DE49BB">
        <w:rPr>
          <w:rFonts w:ascii="Arial" w:hAnsi="Arial" w:cs="Arial"/>
          <w:sz w:val="20"/>
        </w:rPr>
        <w:t>, Paula Shields</w:t>
      </w:r>
      <w:r w:rsidRPr="00DE49BB">
        <w:rPr>
          <w:rFonts w:ascii="Arial" w:hAnsi="Arial" w:cs="Arial"/>
          <w:sz w:val="20"/>
          <w:vertAlign w:val="superscript"/>
        </w:rPr>
        <w:t>1</w:t>
      </w:r>
      <w:r w:rsidRPr="00DE49BB">
        <w:rPr>
          <w:rFonts w:ascii="Arial" w:hAnsi="Arial" w:cs="Arial"/>
          <w:sz w:val="20"/>
        </w:rPr>
        <w:t>, Sandra Fitzgerald</w:t>
      </w:r>
      <w:r w:rsidRPr="00DE49BB">
        <w:rPr>
          <w:rFonts w:ascii="Arial" w:hAnsi="Arial" w:cs="Arial"/>
          <w:sz w:val="20"/>
          <w:vertAlign w:val="superscript"/>
        </w:rPr>
        <w:t>1</w:t>
      </w:r>
      <w:r w:rsidRPr="00DE49BB">
        <w:rPr>
          <w:rFonts w:ascii="Arial" w:hAnsi="Arial" w:cs="Arial"/>
          <w:sz w:val="20"/>
        </w:rPr>
        <w:t>, Deborah Wright</w:t>
      </w:r>
      <w:r w:rsidRPr="00DE49BB">
        <w:rPr>
          <w:rFonts w:ascii="Arial" w:hAnsi="Arial" w:cs="Arial"/>
          <w:sz w:val="20"/>
          <w:vertAlign w:val="superscript"/>
        </w:rPr>
        <w:t>5</w:t>
      </w:r>
      <w:r w:rsidRPr="00DE49BB">
        <w:rPr>
          <w:rFonts w:ascii="Arial" w:hAnsi="Arial" w:cs="Arial"/>
          <w:sz w:val="20"/>
        </w:rPr>
        <w:t xml:space="preserve">, </w:t>
      </w:r>
      <w:proofErr w:type="spellStart"/>
      <w:r w:rsidRPr="00DE49BB">
        <w:rPr>
          <w:rFonts w:ascii="Arial" w:hAnsi="Arial" w:cs="Arial"/>
          <w:sz w:val="20"/>
        </w:rPr>
        <w:t>Rexson</w:t>
      </w:r>
      <w:proofErr w:type="spellEnd"/>
      <w:r w:rsidRPr="00DE49BB">
        <w:rPr>
          <w:rFonts w:ascii="Arial" w:hAnsi="Arial" w:cs="Arial"/>
          <w:sz w:val="20"/>
        </w:rPr>
        <w:t xml:space="preserve"> Tse</w:t>
      </w:r>
      <w:r w:rsidRPr="00DE49BB">
        <w:rPr>
          <w:rFonts w:ascii="Arial" w:hAnsi="Arial" w:cs="Arial"/>
          <w:sz w:val="20"/>
          <w:vertAlign w:val="superscript"/>
        </w:rPr>
        <w:t>5</w:t>
      </w:r>
      <w:r w:rsidRPr="00DE49BB">
        <w:rPr>
          <w:rFonts w:ascii="Arial" w:hAnsi="Arial" w:cs="Arial"/>
          <w:sz w:val="20"/>
        </w:rPr>
        <w:t>, Nicole Kramer</w:t>
      </w:r>
      <w:r w:rsidRPr="00DE49BB">
        <w:rPr>
          <w:rFonts w:ascii="Arial" w:hAnsi="Arial" w:cs="Arial"/>
          <w:sz w:val="20"/>
          <w:vertAlign w:val="superscript"/>
        </w:rPr>
        <w:t>5</w:t>
      </w:r>
      <w:r w:rsidRPr="00DE49BB">
        <w:rPr>
          <w:rFonts w:ascii="Arial" w:hAnsi="Arial" w:cs="Arial"/>
          <w:sz w:val="20"/>
        </w:rPr>
        <w:t>, Claire Barker</w:t>
      </w:r>
      <w:r w:rsidRPr="00DE49BB">
        <w:rPr>
          <w:rFonts w:ascii="Arial" w:hAnsi="Arial" w:cs="Arial"/>
          <w:sz w:val="20"/>
          <w:vertAlign w:val="superscript"/>
        </w:rPr>
        <w:t>5</w:t>
      </w:r>
      <w:r w:rsidRPr="00DE49BB">
        <w:rPr>
          <w:rFonts w:ascii="Arial" w:hAnsi="Arial" w:cs="Arial"/>
          <w:sz w:val="20"/>
        </w:rPr>
        <w:t>, Yvonne Triggs</w:t>
      </w:r>
      <w:r w:rsidRPr="00DE49BB">
        <w:rPr>
          <w:rFonts w:ascii="Arial" w:hAnsi="Arial" w:cs="Arial"/>
          <w:sz w:val="20"/>
          <w:vertAlign w:val="superscript"/>
        </w:rPr>
        <w:t>5</w:t>
      </w:r>
      <w:r w:rsidRPr="00DE49BB">
        <w:rPr>
          <w:rFonts w:ascii="Arial" w:hAnsi="Arial" w:cs="Arial"/>
          <w:sz w:val="20"/>
        </w:rPr>
        <w:t>, Simon Stables</w:t>
      </w:r>
      <w:r w:rsidRPr="00DE49BB">
        <w:rPr>
          <w:rFonts w:ascii="Arial" w:hAnsi="Arial" w:cs="Arial"/>
          <w:sz w:val="20"/>
          <w:vertAlign w:val="superscript"/>
        </w:rPr>
        <w:t>5</w:t>
      </w:r>
      <w:r w:rsidRPr="00DE49BB">
        <w:rPr>
          <w:rFonts w:ascii="Arial" w:hAnsi="Arial" w:cs="Arial"/>
          <w:sz w:val="20"/>
        </w:rPr>
        <w:t>, Lucy Modahl</w:t>
      </w:r>
      <w:r w:rsidRPr="00DE49BB">
        <w:rPr>
          <w:rFonts w:ascii="Arial" w:hAnsi="Arial" w:cs="Arial"/>
          <w:sz w:val="20"/>
          <w:vertAlign w:val="superscript"/>
        </w:rPr>
        <w:t>5</w:t>
      </w:r>
      <w:r w:rsidRPr="00DE49BB">
        <w:rPr>
          <w:rFonts w:ascii="Arial" w:hAnsi="Arial" w:cs="Arial"/>
          <w:sz w:val="20"/>
        </w:rPr>
        <w:t>, Jane Reeve</w:t>
      </w:r>
      <w:r w:rsidRPr="00DE49BB">
        <w:rPr>
          <w:rFonts w:ascii="Arial" w:hAnsi="Arial" w:cs="Arial"/>
          <w:sz w:val="20"/>
          <w:vertAlign w:val="superscript"/>
        </w:rPr>
        <w:t>5</w:t>
      </w:r>
      <w:r w:rsidRPr="00DE49BB">
        <w:rPr>
          <w:rFonts w:ascii="Arial" w:hAnsi="Arial" w:cs="Arial"/>
          <w:sz w:val="20"/>
        </w:rPr>
        <w:t>, Phillip Shepherd</w:t>
      </w:r>
      <w:r w:rsidRPr="00DE49BB">
        <w:rPr>
          <w:rFonts w:ascii="Arial" w:hAnsi="Arial" w:cs="Arial"/>
          <w:sz w:val="20"/>
          <w:vertAlign w:val="superscript"/>
        </w:rPr>
        <w:t>1</w:t>
      </w:r>
      <w:r w:rsidRPr="00DE49BB">
        <w:rPr>
          <w:rFonts w:ascii="Arial" w:hAnsi="Arial" w:cs="Arial"/>
          <w:sz w:val="20"/>
        </w:rPr>
        <w:t>, Ben Lawrence</w:t>
      </w:r>
      <w:r w:rsidRPr="00DE49BB">
        <w:rPr>
          <w:rFonts w:ascii="Arial" w:hAnsi="Arial" w:cs="Arial"/>
          <w:sz w:val="20"/>
          <w:vertAlign w:val="superscript"/>
        </w:rPr>
        <w:t>1</w:t>
      </w:r>
      <w:r w:rsidRPr="00DE49BB">
        <w:rPr>
          <w:rFonts w:ascii="Arial" w:hAnsi="Arial" w:cs="Arial"/>
          <w:sz w:val="20"/>
        </w:rPr>
        <w:t xml:space="preserve">*, </w:t>
      </w:r>
      <w:proofErr w:type="spellStart"/>
      <w:r w:rsidRPr="00DE49BB">
        <w:rPr>
          <w:rFonts w:ascii="Arial" w:hAnsi="Arial" w:cs="Arial"/>
          <w:sz w:val="20"/>
        </w:rPr>
        <w:t>Cris</w:t>
      </w:r>
      <w:proofErr w:type="spellEnd"/>
      <w:r w:rsidRPr="00DE49BB">
        <w:rPr>
          <w:rFonts w:ascii="Arial" w:hAnsi="Arial" w:cs="Arial"/>
          <w:sz w:val="20"/>
        </w:rPr>
        <w:t xml:space="preserve"> Print</w:t>
      </w:r>
      <w:r w:rsidRPr="00DE49BB">
        <w:rPr>
          <w:rFonts w:ascii="Arial" w:hAnsi="Arial" w:cs="Arial"/>
          <w:sz w:val="20"/>
          <w:vertAlign w:val="superscript"/>
        </w:rPr>
        <w:t>1</w:t>
      </w:r>
      <w:r w:rsidRPr="00DE49BB">
        <w:rPr>
          <w:rFonts w:ascii="Arial" w:hAnsi="Arial" w:cs="Arial"/>
          <w:sz w:val="20"/>
        </w:rPr>
        <w:t>*</w:t>
      </w:r>
    </w:p>
    <w:p w:rsidR="00EE3FD3" w:rsidRDefault="00EE3FD3" w:rsidP="00EE3FD3">
      <w:pPr>
        <w:rPr>
          <w:rFonts w:ascii="Arial" w:hAnsi="Arial" w:cs="Arial"/>
          <w:sz w:val="20"/>
        </w:rPr>
      </w:pPr>
    </w:p>
    <w:p w:rsidR="00EE3FD3" w:rsidRDefault="00EE3FD3" w:rsidP="00EE3FD3">
      <w:pPr>
        <w:rPr>
          <w:rFonts w:ascii="Arial" w:hAnsi="Arial" w:cs="Arial"/>
          <w:sz w:val="20"/>
        </w:rPr>
      </w:pPr>
      <w:r>
        <w:rPr>
          <w:rFonts w:ascii="Arial" w:hAnsi="Arial" w:cs="Arial"/>
          <w:sz w:val="20"/>
        </w:rPr>
        <w:t>Affiliations</w:t>
      </w:r>
    </w:p>
    <w:p w:rsidR="00EE3FD3" w:rsidRDefault="00EE3FD3" w:rsidP="00EE3FD3">
      <w:pPr>
        <w:rPr>
          <w:rFonts w:ascii="Arial" w:hAnsi="Arial" w:cs="Arial"/>
          <w:sz w:val="20"/>
        </w:rPr>
      </w:pPr>
      <w:r>
        <w:rPr>
          <w:rFonts w:ascii="Arial" w:hAnsi="Arial" w:cs="Arial"/>
          <w:sz w:val="20"/>
        </w:rPr>
        <w:t xml:space="preserve">1 </w:t>
      </w:r>
      <w:r w:rsidRPr="0010269E">
        <w:rPr>
          <w:rFonts w:ascii="Arial" w:hAnsi="Arial" w:cs="Arial"/>
          <w:i/>
          <w:sz w:val="20"/>
        </w:rPr>
        <w:t>Faculty of Medical and Health Sciences, The University of Auckland</w:t>
      </w:r>
    </w:p>
    <w:p w:rsidR="00EE3FD3" w:rsidRPr="0010269E" w:rsidRDefault="00EE3FD3" w:rsidP="00EE3FD3">
      <w:pPr>
        <w:rPr>
          <w:rFonts w:ascii="Arial" w:hAnsi="Arial" w:cs="Arial"/>
          <w:i/>
          <w:sz w:val="20"/>
        </w:rPr>
      </w:pPr>
      <w:r>
        <w:rPr>
          <w:rFonts w:ascii="Arial" w:hAnsi="Arial" w:cs="Arial"/>
          <w:sz w:val="20"/>
        </w:rPr>
        <w:t xml:space="preserve">2 </w:t>
      </w:r>
      <w:r w:rsidRPr="0010269E">
        <w:rPr>
          <w:rFonts w:ascii="Arial" w:hAnsi="Arial" w:cs="Arial"/>
          <w:i/>
          <w:sz w:val="20"/>
        </w:rPr>
        <w:t>Faculty of Science, The University of Auckland</w:t>
      </w:r>
    </w:p>
    <w:p w:rsidR="00EE3FD3" w:rsidRPr="0010269E" w:rsidRDefault="00EE3FD3" w:rsidP="00EE3FD3">
      <w:pPr>
        <w:rPr>
          <w:rFonts w:ascii="Arial" w:hAnsi="Arial" w:cs="Arial"/>
          <w:i/>
          <w:sz w:val="20"/>
        </w:rPr>
      </w:pPr>
      <w:r>
        <w:rPr>
          <w:rFonts w:ascii="Arial" w:hAnsi="Arial" w:cs="Arial"/>
          <w:sz w:val="20"/>
        </w:rPr>
        <w:t xml:space="preserve">3 </w:t>
      </w:r>
      <w:r w:rsidRPr="0010269E">
        <w:rPr>
          <w:rFonts w:ascii="Arial" w:hAnsi="Arial" w:cs="Arial"/>
          <w:i/>
          <w:sz w:val="20"/>
        </w:rPr>
        <w:t>Department of Biochemistry, University of Otago</w:t>
      </w:r>
    </w:p>
    <w:p w:rsidR="00EE3FD3" w:rsidRDefault="00EE3FD3" w:rsidP="00EE3FD3">
      <w:pPr>
        <w:rPr>
          <w:rFonts w:ascii="Arial" w:hAnsi="Arial" w:cs="Arial"/>
          <w:i/>
          <w:sz w:val="20"/>
        </w:rPr>
      </w:pPr>
      <w:r>
        <w:rPr>
          <w:rFonts w:ascii="Arial" w:hAnsi="Arial" w:cs="Arial"/>
          <w:sz w:val="20"/>
        </w:rPr>
        <w:t xml:space="preserve">4 </w:t>
      </w:r>
      <w:r w:rsidRPr="0010269E">
        <w:rPr>
          <w:rFonts w:ascii="Arial" w:hAnsi="Arial" w:cs="Arial"/>
          <w:i/>
          <w:sz w:val="20"/>
        </w:rPr>
        <w:t>Department of Computer Science, University of Otago</w:t>
      </w:r>
    </w:p>
    <w:p w:rsidR="00EE3FD3" w:rsidRDefault="00EE3FD3" w:rsidP="00EE3FD3">
      <w:pPr>
        <w:rPr>
          <w:rFonts w:ascii="Arial" w:hAnsi="Arial" w:cs="Arial"/>
          <w:i/>
          <w:sz w:val="20"/>
        </w:rPr>
      </w:pPr>
      <w:r w:rsidRPr="00422E54">
        <w:rPr>
          <w:rFonts w:ascii="Arial" w:hAnsi="Arial" w:cs="Arial"/>
          <w:sz w:val="20"/>
        </w:rPr>
        <w:t>5</w:t>
      </w:r>
      <w:r>
        <w:rPr>
          <w:rFonts w:ascii="Arial" w:hAnsi="Arial" w:cs="Arial"/>
          <w:i/>
          <w:sz w:val="20"/>
        </w:rPr>
        <w:t xml:space="preserve"> Auckland District Health Board, Auckland</w:t>
      </w:r>
    </w:p>
    <w:p w:rsidR="00EE3FD3" w:rsidRDefault="00EE3FD3" w:rsidP="00EE3FD3">
      <w:pPr>
        <w:rPr>
          <w:rFonts w:ascii="Arial" w:hAnsi="Arial" w:cs="Arial"/>
          <w:sz w:val="20"/>
        </w:rPr>
      </w:pPr>
      <w:r w:rsidRPr="00DD177D">
        <w:rPr>
          <w:rFonts w:ascii="Arial" w:hAnsi="Arial" w:cs="Arial"/>
          <w:sz w:val="20"/>
        </w:rPr>
        <w:t xml:space="preserve">* </w:t>
      </w:r>
      <w:proofErr w:type="spellStart"/>
      <w:r>
        <w:rPr>
          <w:rFonts w:ascii="Arial" w:hAnsi="Arial" w:cs="Arial"/>
          <w:sz w:val="20"/>
        </w:rPr>
        <w:t>Cris</w:t>
      </w:r>
      <w:proofErr w:type="spellEnd"/>
      <w:r>
        <w:rPr>
          <w:rFonts w:ascii="Arial" w:hAnsi="Arial" w:cs="Arial"/>
          <w:sz w:val="20"/>
        </w:rPr>
        <w:t xml:space="preserve"> P</w:t>
      </w:r>
      <w:r w:rsidRPr="00DD177D">
        <w:rPr>
          <w:rFonts w:ascii="Arial" w:hAnsi="Arial" w:cs="Arial"/>
          <w:sz w:val="20"/>
        </w:rPr>
        <w:t>rint and Ben Lawrence have contributed equally to the leadership of this study</w:t>
      </w:r>
    </w:p>
    <w:p w:rsidR="00EE3FD3" w:rsidRDefault="00EE3FD3" w:rsidP="00EE3FD3">
      <w:pPr>
        <w:rPr>
          <w:rFonts w:ascii="Arial" w:hAnsi="Arial" w:cs="Arial"/>
          <w:sz w:val="20"/>
        </w:rPr>
      </w:pPr>
    </w:p>
    <w:p w:rsidR="00EE3FD3" w:rsidRDefault="00EE3FD3" w:rsidP="00EE3FD3">
      <w:pPr>
        <w:rPr>
          <w:rFonts w:ascii="Arial" w:hAnsi="Arial" w:cs="Arial"/>
          <w:sz w:val="20"/>
        </w:rPr>
      </w:pPr>
      <w:r>
        <w:rPr>
          <w:rFonts w:ascii="Arial" w:hAnsi="Arial" w:cs="Arial"/>
          <w:sz w:val="20"/>
        </w:rPr>
        <w:t>For cancer biologists, u</w:t>
      </w:r>
      <w:r w:rsidRPr="00DD7963">
        <w:rPr>
          <w:rFonts w:ascii="Arial" w:hAnsi="Arial" w:cs="Arial"/>
          <w:sz w:val="20"/>
        </w:rPr>
        <w:t xml:space="preserve">nderstanding </w:t>
      </w:r>
      <w:r>
        <w:rPr>
          <w:rFonts w:ascii="Arial" w:hAnsi="Arial" w:cs="Arial"/>
          <w:sz w:val="20"/>
        </w:rPr>
        <w:t>the</w:t>
      </w:r>
      <w:r w:rsidRPr="00DD7963">
        <w:rPr>
          <w:rFonts w:ascii="Arial" w:hAnsi="Arial" w:cs="Arial"/>
          <w:sz w:val="20"/>
        </w:rPr>
        <w:t xml:space="preserve"> evolution </w:t>
      </w:r>
      <w:r>
        <w:rPr>
          <w:rFonts w:ascii="Arial" w:hAnsi="Arial" w:cs="Arial"/>
          <w:sz w:val="20"/>
        </w:rPr>
        <w:t xml:space="preserve">and resulting genomic heterogeneity of multiple tumours in a single patient is an important goal. For oncologists, genomic maps of multiple tumours in each patient, when combined with histology and imaging studies, could bring a step change to precision oncology. Therapeutic targets universal to all of a patient’s tumours could be selected, private resistance mechanisms found only in individual metastases could be identified, and metastasis-specific </w:t>
      </w:r>
      <w:proofErr w:type="spellStart"/>
      <w:r>
        <w:rPr>
          <w:rFonts w:ascii="Arial" w:hAnsi="Arial" w:cs="Arial"/>
          <w:sz w:val="20"/>
        </w:rPr>
        <w:t>ctDNA</w:t>
      </w:r>
      <w:proofErr w:type="spellEnd"/>
      <w:r>
        <w:rPr>
          <w:rFonts w:ascii="Arial" w:hAnsi="Arial" w:cs="Arial"/>
          <w:sz w:val="20"/>
        </w:rPr>
        <w:t xml:space="preserve"> biomarkers for better disease monitoring could be selected.</w:t>
      </w:r>
    </w:p>
    <w:p w:rsidR="00EE3FD3" w:rsidRDefault="00EE3FD3" w:rsidP="00EE3FD3">
      <w:pPr>
        <w:rPr>
          <w:rFonts w:ascii="Arial" w:hAnsi="Arial" w:cs="Arial"/>
          <w:sz w:val="20"/>
        </w:rPr>
      </w:pPr>
      <w:r>
        <w:rPr>
          <w:rFonts w:ascii="Arial" w:hAnsi="Arial" w:cs="Arial"/>
          <w:sz w:val="20"/>
        </w:rPr>
        <w:t>A patient with a primary lung neuroendocrine tumour and 88 metastases requested and consented to rapid autopsy, providing a</w:t>
      </w:r>
      <w:r w:rsidRPr="00DD7963">
        <w:rPr>
          <w:rFonts w:ascii="Arial" w:hAnsi="Arial" w:cs="Arial"/>
          <w:sz w:val="20"/>
        </w:rPr>
        <w:t xml:space="preserve"> rare opportunity to study tumour evolution </w:t>
      </w:r>
      <w:r>
        <w:rPr>
          <w:rFonts w:ascii="Arial" w:hAnsi="Arial" w:cs="Arial"/>
          <w:sz w:val="20"/>
        </w:rPr>
        <w:t xml:space="preserve">and heterogeneity </w:t>
      </w:r>
      <w:r w:rsidRPr="00DD7963">
        <w:rPr>
          <w:rFonts w:ascii="Arial" w:hAnsi="Arial" w:cs="Arial"/>
          <w:sz w:val="20"/>
        </w:rPr>
        <w:t>in a single patient</w:t>
      </w:r>
      <w:r>
        <w:rPr>
          <w:rFonts w:ascii="Arial" w:hAnsi="Arial" w:cs="Arial"/>
          <w:sz w:val="20"/>
        </w:rPr>
        <w:t>. We have embarked on a multi-layered genomic investigation, augmenting clinical notes and imaging, to build a personalised evolutionary model of the disease progression. Following comprehensive ethical consultation the patient and her extended family provided informed consent to collection of tumours through rapid autopsy. B</w:t>
      </w:r>
      <w:r w:rsidRPr="00DD7963">
        <w:rPr>
          <w:rFonts w:ascii="Arial" w:hAnsi="Arial" w:cs="Arial"/>
          <w:sz w:val="20"/>
        </w:rPr>
        <w:t xml:space="preserve">oth formalin fixed, paraffin embedded (FFPE) and fresh frozen samples </w:t>
      </w:r>
      <w:r>
        <w:rPr>
          <w:rFonts w:ascii="Arial" w:hAnsi="Arial" w:cs="Arial"/>
          <w:sz w:val="20"/>
        </w:rPr>
        <w:t xml:space="preserve">were collected </w:t>
      </w:r>
      <w:r w:rsidRPr="00DD7963">
        <w:rPr>
          <w:rFonts w:ascii="Arial" w:hAnsi="Arial" w:cs="Arial"/>
          <w:sz w:val="20"/>
        </w:rPr>
        <w:t xml:space="preserve">from the 89 lesions, </w:t>
      </w:r>
      <w:r>
        <w:rPr>
          <w:rFonts w:ascii="Arial" w:hAnsi="Arial" w:cs="Arial"/>
          <w:sz w:val="20"/>
        </w:rPr>
        <w:t xml:space="preserve">annotated comprehensively and </w:t>
      </w:r>
      <w:r w:rsidRPr="00DD7963">
        <w:rPr>
          <w:rFonts w:ascii="Arial" w:hAnsi="Arial" w:cs="Arial"/>
          <w:sz w:val="20"/>
        </w:rPr>
        <w:t xml:space="preserve">lesions </w:t>
      </w:r>
      <w:r>
        <w:rPr>
          <w:rFonts w:ascii="Arial" w:hAnsi="Arial" w:cs="Arial"/>
          <w:sz w:val="20"/>
        </w:rPr>
        <w:t>sampled</w:t>
      </w:r>
      <w:r w:rsidRPr="00DD7963">
        <w:rPr>
          <w:rFonts w:ascii="Arial" w:hAnsi="Arial" w:cs="Arial"/>
          <w:sz w:val="20"/>
        </w:rPr>
        <w:t xml:space="preserve"> extensively where large and t</w:t>
      </w:r>
      <w:r>
        <w:rPr>
          <w:rFonts w:ascii="Arial" w:hAnsi="Arial" w:cs="Arial"/>
          <w:sz w:val="20"/>
        </w:rPr>
        <w:t>here was likely heterogeneity. F</w:t>
      </w:r>
      <w:r w:rsidRPr="00DD7963">
        <w:rPr>
          <w:rFonts w:ascii="Arial" w:hAnsi="Arial" w:cs="Arial"/>
          <w:sz w:val="20"/>
        </w:rPr>
        <w:t xml:space="preserve">rom an initial 30 FFPE tumour samples, representing a broad spatial distribution of the patient’s total tumour burden, DNA whole exome sequencing (WES), transcriptome mRNA sequencing and RNA microarray analysis </w:t>
      </w:r>
      <w:r>
        <w:rPr>
          <w:rFonts w:ascii="Arial" w:hAnsi="Arial" w:cs="Arial"/>
          <w:sz w:val="20"/>
        </w:rPr>
        <w:t xml:space="preserve">was completed, to provide a </w:t>
      </w:r>
      <w:r w:rsidRPr="00DD7963">
        <w:rPr>
          <w:rFonts w:ascii="Arial" w:hAnsi="Arial" w:cs="Arial"/>
          <w:sz w:val="20"/>
        </w:rPr>
        <w:t xml:space="preserve">bank of genomic information to guide </w:t>
      </w:r>
      <w:r>
        <w:rPr>
          <w:rFonts w:ascii="Arial" w:hAnsi="Arial" w:cs="Arial"/>
          <w:sz w:val="20"/>
        </w:rPr>
        <w:t>evolutionary</w:t>
      </w:r>
      <w:r w:rsidRPr="00DD7963">
        <w:rPr>
          <w:rFonts w:ascii="Arial" w:hAnsi="Arial" w:cs="Arial"/>
          <w:sz w:val="20"/>
        </w:rPr>
        <w:t xml:space="preserve"> investigations. We </w:t>
      </w:r>
      <w:r>
        <w:rPr>
          <w:rFonts w:ascii="Arial" w:hAnsi="Arial" w:cs="Arial"/>
          <w:sz w:val="20"/>
        </w:rPr>
        <w:t xml:space="preserve">have built statistical </w:t>
      </w:r>
      <w:r w:rsidRPr="00DD7963">
        <w:rPr>
          <w:rFonts w:ascii="Arial" w:hAnsi="Arial" w:cs="Arial"/>
          <w:sz w:val="20"/>
        </w:rPr>
        <w:t xml:space="preserve">evolutionary </w:t>
      </w:r>
      <w:r>
        <w:rPr>
          <w:rFonts w:ascii="Arial" w:hAnsi="Arial" w:cs="Arial"/>
          <w:sz w:val="20"/>
        </w:rPr>
        <w:t xml:space="preserve">phylogenetic </w:t>
      </w:r>
      <w:r w:rsidRPr="00DD7963">
        <w:rPr>
          <w:rFonts w:ascii="Arial" w:hAnsi="Arial" w:cs="Arial"/>
          <w:sz w:val="20"/>
        </w:rPr>
        <w:t xml:space="preserve">models </w:t>
      </w:r>
      <w:r>
        <w:rPr>
          <w:rFonts w:ascii="Arial" w:hAnsi="Arial" w:cs="Arial"/>
          <w:sz w:val="20"/>
        </w:rPr>
        <w:t xml:space="preserve">from differences observed across the genomic data </w:t>
      </w:r>
      <w:r w:rsidRPr="00DD7963">
        <w:rPr>
          <w:rFonts w:ascii="Arial" w:hAnsi="Arial" w:cs="Arial"/>
          <w:sz w:val="20"/>
        </w:rPr>
        <w:t xml:space="preserve">to produce a broad evolutionary picture encompassing </w:t>
      </w:r>
      <w:r>
        <w:rPr>
          <w:rFonts w:ascii="Arial" w:hAnsi="Arial" w:cs="Arial"/>
          <w:sz w:val="20"/>
        </w:rPr>
        <w:t>single nucleotide variants (</w:t>
      </w:r>
      <w:r w:rsidRPr="00DD7963">
        <w:rPr>
          <w:rFonts w:ascii="Arial" w:hAnsi="Arial" w:cs="Arial"/>
          <w:sz w:val="20"/>
        </w:rPr>
        <w:t>SNVs</w:t>
      </w:r>
      <w:r>
        <w:rPr>
          <w:rFonts w:ascii="Arial" w:hAnsi="Arial" w:cs="Arial"/>
          <w:sz w:val="20"/>
        </w:rPr>
        <w:t>)</w:t>
      </w:r>
      <w:r w:rsidRPr="00DD7963">
        <w:rPr>
          <w:rFonts w:ascii="Arial" w:hAnsi="Arial" w:cs="Arial"/>
          <w:sz w:val="20"/>
        </w:rPr>
        <w:t xml:space="preserve">, </w:t>
      </w:r>
      <w:proofErr w:type="spellStart"/>
      <w:r w:rsidRPr="00DD7963">
        <w:rPr>
          <w:rFonts w:ascii="Arial" w:hAnsi="Arial" w:cs="Arial"/>
          <w:sz w:val="20"/>
        </w:rPr>
        <w:t>indels</w:t>
      </w:r>
      <w:proofErr w:type="spellEnd"/>
      <w:r w:rsidRPr="00DD7963">
        <w:rPr>
          <w:rFonts w:ascii="Arial" w:hAnsi="Arial" w:cs="Arial"/>
          <w:sz w:val="20"/>
        </w:rPr>
        <w:t>, copy number variants</w:t>
      </w:r>
      <w:r>
        <w:rPr>
          <w:rFonts w:ascii="Arial" w:hAnsi="Arial" w:cs="Arial"/>
          <w:sz w:val="20"/>
        </w:rPr>
        <w:t xml:space="preserve"> (CNVs)</w:t>
      </w:r>
      <w:r w:rsidRPr="00DD7963">
        <w:rPr>
          <w:rFonts w:ascii="Arial" w:hAnsi="Arial" w:cs="Arial"/>
          <w:sz w:val="20"/>
        </w:rPr>
        <w:t>,</w:t>
      </w:r>
      <w:r>
        <w:rPr>
          <w:rFonts w:ascii="Arial" w:hAnsi="Arial" w:cs="Arial"/>
          <w:sz w:val="20"/>
        </w:rPr>
        <w:t xml:space="preserve"> and</w:t>
      </w:r>
      <w:r w:rsidRPr="00DD7963">
        <w:rPr>
          <w:rFonts w:ascii="Arial" w:hAnsi="Arial" w:cs="Arial"/>
          <w:sz w:val="20"/>
        </w:rPr>
        <w:t xml:space="preserve"> </w:t>
      </w:r>
      <w:r>
        <w:rPr>
          <w:rFonts w:ascii="Arial" w:hAnsi="Arial" w:cs="Arial"/>
          <w:sz w:val="20"/>
        </w:rPr>
        <w:t>RNA expression</w:t>
      </w:r>
      <w:r w:rsidRPr="00DD7963">
        <w:rPr>
          <w:rFonts w:ascii="Arial" w:hAnsi="Arial" w:cs="Arial"/>
          <w:sz w:val="20"/>
        </w:rPr>
        <w:t>.</w:t>
      </w:r>
      <w:r>
        <w:rPr>
          <w:rFonts w:ascii="Arial" w:hAnsi="Arial" w:cs="Arial"/>
          <w:sz w:val="20"/>
        </w:rPr>
        <w:t xml:space="preserve"> </w:t>
      </w:r>
    </w:p>
    <w:p w:rsidR="00EE3FD3" w:rsidRDefault="00EE3FD3" w:rsidP="00EE3FD3">
      <w:pPr>
        <w:rPr>
          <w:rFonts w:ascii="Arial" w:hAnsi="Arial" w:cs="Arial"/>
          <w:sz w:val="20"/>
        </w:rPr>
      </w:pPr>
      <w:r>
        <w:rPr>
          <w:rFonts w:ascii="Arial" w:hAnsi="Arial" w:cs="Arial"/>
          <w:sz w:val="20"/>
        </w:rPr>
        <w:t xml:space="preserve">Overall, the 30 tumours were generally homogenous in terms of SNVs, </w:t>
      </w:r>
      <w:proofErr w:type="spellStart"/>
      <w:r>
        <w:rPr>
          <w:rFonts w:ascii="Arial" w:hAnsi="Arial" w:cs="Arial"/>
          <w:sz w:val="20"/>
        </w:rPr>
        <w:t>indels</w:t>
      </w:r>
      <w:proofErr w:type="spellEnd"/>
      <w:r>
        <w:rPr>
          <w:rFonts w:ascii="Arial" w:hAnsi="Arial" w:cs="Arial"/>
          <w:sz w:val="20"/>
        </w:rPr>
        <w:t xml:space="preserve"> and CNVs, mirroring histopathological observations of homogeneity. However, key differences in SNVs that may have driven metastatic events were found and used to infer tumour lineages and evolutionary progression. The data suggests that multiple ancestral lineages within the primary tumour may have been responsible for seeding different metastatic tumours. The analysis is facilitated by anatomical and temporal information from clinical notes, and also allows inferences to be made in timing of evolutionary progression. </w:t>
      </w:r>
    </w:p>
    <w:p w:rsidR="00EE3FD3" w:rsidRPr="00422E54" w:rsidRDefault="00EE3FD3" w:rsidP="00EE3FD3">
      <w:pPr>
        <w:rPr>
          <w:rFonts w:ascii="Arial" w:hAnsi="Arial" w:cs="Arial"/>
          <w:sz w:val="20"/>
        </w:rPr>
      </w:pPr>
      <w:r>
        <w:rPr>
          <w:rFonts w:ascii="Arial" w:hAnsi="Arial" w:cs="Arial"/>
          <w:sz w:val="20"/>
        </w:rPr>
        <w:t>This generous donation by a patient represents an opportunity to draw on well-annotated clinical history alongside a substantial bank of multi-layered genomic data to investigate biological drivers of tumour evolution.</w:t>
      </w:r>
    </w:p>
    <w:p w:rsidR="004F6BFD" w:rsidRPr="00EE3FD3" w:rsidRDefault="004F6BFD">
      <w:pPr>
        <w:pStyle w:val="AbstractBookBaseParagraph"/>
        <w:rPr>
          <w:rFonts w:ascii="Arial" w:hAnsi="Arial" w:cs="Arial"/>
          <w:sz w:val="20"/>
        </w:rPr>
      </w:pPr>
    </w:p>
    <w:p w:rsidR="00EE3FD3" w:rsidRDefault="00EE3FD3">
      <w:pPr>
        <w:rPr>
          <w:rFonts w:ascii="Arial" w:hAnsi="Arial" w:cs="Arial"/>
          <w:sz w:val="20"/>
        </w:rPr>
      </w:pPr>
      <w:r>
        <w:rPr>
          <w:rFonts w:ascii="Arial" w:hAnsi="Arial" w:cs="Arial"/>
          <w:sz w:val="20"/>
        </w:rPr>
        <w:br w:type="page"/>
      </w:r>
    </w:p>
    <w:p w:rsidR="004F6BFD" w:rsidRPr="00EE3FD3" w:rsidRDefault="00EE3FD3">
      <w:pPr>
        <w:pStyle w:val="AbstractBookSessionDetails"/>
        <w:rPr>
          <w:rFonts w:ascii="Arial" w:hAnsi="Arial" w:cs="Arial"/>
          <w:sz w:val="20"/>
        </w:rPr>
      </w:pPr>
      <w:r w:rsidRPr="00EE3FD3">
        <w:rPr>
          <w:rFonts w:ascii="Arial" w:hAnsi="Arial" w:cs="Arial"/>
          <w:sz w:val="20"/>
        </w:rPr>
        <w:lastRenderedPageBreak/>
        <w:t>Session six, August 25, 2018, 11:10 AM - 12:50 PM</w:t>
      </w:r>
    </w:p>
    <w:p w:rsidR="004F6BFD" w:rsidRPr="00EE3FD3" w:rsidRDefault="004F6BFD">
      <w:pPr>
        <w:pStyle w:val="AbstractBookBaseParagraph"/>
        <w:rPr>
          <w:rFonts w:ascii="Arial" w:hAnsi="Arial" w:cs="Arial"/>
          <w:sz w:val="20"/>
        </w:rPr>
      </w:pPr>
    </w:p>
    <w:p w:rsidR="004F6BFD" w:rsidRPr="00EE3FD3" w:rsidRDefault="00EE3FD3">
      <w:pPr>
        <w:rPr>
          <w:rFonts w:ascii="Arial" w:hAnsi="Arial" w:cs="Arial"/>
          <w:sz w:val="24"/>
        </w:rPr>
      </w:pPr>
      <w:r w:rsidRPr="00EE3FD3">
        <w:rPr>
          <w:rFonts w:ascii="Arial" w:hAnsi="Arial" w:cs="Arial"/>
          <w:b/>
          <w:sz w:val="24"/>
        </w:rPr>
        <w:t>An increas</w:t>
      </w:r>
      <w:r w:rsidRPr="00EE3FD3">
        <w:rPr>
          <w:rFonts w:ascii="Arial" w:hAnsi="Arial" w:cs="Arial"/>
          <w:b/>
          <w:sz w:val="24"/>
        </w:rPr>
        <w:t xml:space="preserve">e in effector </w:t>
      </w:r>
      <w:proofErr w:type="spellStart"/>
      <w:r w:rsidRPr="00EE3FD3">
        <w:rPr>
          <w:rFonts w:ascii="Arial" w:hAnsi="Arial" w:cs="Arial"/>
          <w:b/>
          <w:sz w:val="24"/>
        </w:rPr>
        <w:t>Tregs</w:t>
      </w:r>
      <w:proofErr w:type="spellEnd"/>
      <w:r w:rsidRPr="00EE3FD3">
        <w:rPr>
          <w:rFonts w:ascii="Arial" w:hAnsi="Arial" w:cs="Arial"/>
          <w:b/>
          <w:sz w:val="24"/>
        </w:rPr>
        <w:t xml:space="preserve"> is a classifying feature of the immune landscape in colorectal tumours</w:t>
      </w:r>
    </w:p>
    <w:p w:rsidR="004F6BFD" w:rsidRPr="00EE3FD3" w:rsidRDefault="00EE3FD3">
      <w:pPr>
        <w:rPr>
          <w:rFonts w:ascii="Arial" w:hAnsi="Arial" w:cs="Arial"/>
        </w:rPr>
      </w:pPr>
      <w:r w:rsidRPr="00EE3FD3">
        <w:rPr>
          <w:rFonts w:ascii="Arial" w:hAnsi="Arial" w:cs="Arial"/>
        </w:rPr>
        <w:t> </w:t>
      </w:r>
    </w:p>
    <w:p w:rsidR="004F6BFD" w:rsidRPr="00EE3FD3" w:rsidRDefault="00EE3FD3">
      <w:pPr>
        <w:rPr>
          <w:rFonts w:ascii="Arial" w:hAnsi="Arial" w:cs="Arial"/>
          <w:sz w:val="20"/>
        </w:rPr>
      </w:pPr>
      <w:r w:rsidRPr="00EE3FD3">
        <w:rPr>
          <w:rFonts w:ascii="Arial" w:hAnsi="Arial" w:cs="Arial"/>
          <w:b/>
          <w:sz w:val="20"/>
        </w:rPr>
        <w:t>Norton, Sam</w:t>
      </w:r>
      <w:r w:rsidRPr="00EE3FD3">
        <w:rPr>
          <w:rFonts w:ascii="Arial" w:hAnsi="Arial" w:cs="Arial"/>
          <w:b/>
          <w:sz w:val="20"/>
          <w:vertAlign w:val="superscript"/>
        </w:rPr>
        <w:t>1</w:t>
      </w:r>
      <w:r w:rsidRPr="00EE3FD3">
        <w:rPr>
          <w:rFonts w:ascii="Arial" w:hAnsi="Arial" w:cs="Arial"/>
          <w:b/>
          <w:sz w:val="20"/>
        </w:rPr>
        <w:t>,</w:t>
      </w:r>
      <w:r w:rsidRPr="00EE3FD3">
        <w:rPr>
          <w:rFonts w:ascii="Arial" w:hAnsi="Arial" w:cs="Arial"/>
          <w:sz w:val="20"/>
        </w:rPr>
        <w:t xml:space="preserve"> Ward-Hartstonge, Kirsten</w:t>
      </w:r>
      <w:r w:rsidRPr="00EE3FD3">
        <w:rPr>
          <w:rFonts w:ascii="Arial" w:hAnsi="Arial" w:cs="Arial"/>
          <w:sz w:val="20"/>
          <w:vertAlign w:val="superscript"/>
        </w:rPr>
        <w:t>1</w:t>
      </w:r>
      <w:r w:rsidRPr="00EE3FD3">
        <w:rPr>
          <w:rFonts w:ascii="Arial" w:hAnsi="Arial" w:cs="Arial"/>
          <w:sz w:val="20"/>
        </w:rPr>
        <w:t>, McCall, John</w:t>
      </w:r>
      <w:r w:rsidRPr="00EE3FD3">
        <w:rPr>
          <w:rFonts w:ascii="Arial" w:hAnsi="Arial" w:cs="Arial"/>
          <w:sz w:val="20"/>
          <w:vertAlign w:val="superscript"/>
        </w:rPr>
        <w:t>1</w:t>
      </w:r>
      <w:r w:rsidRPr="00EE3FD3">
        <w:rPr>
          <w:rFonts w:ascii="Arial" w:hAnsi="Arial" w:cs="Arial"/>
          <w:sz w:val="20"/>
        </w:rPr>
        <w:t>, Leman, Julia</w:t>
      </w:r>
      <w:r w:rsidRPr="00EE3FD3">
        <w:rPr>
          <w:rFonts w:ascii="Arial" w:hAnsi="Arial" w:cs="Arial"/>
          <w:sz w:val="20"/>
          <w:vertAlign w:val="superscript"/>
        </w:rPr>
        <w:t>1</w:t>
      </w:r>
      <w:r w:rsidRPr="00EE3FD3">
        <w:rPr>
          <w:rFonts w:ascii="Arial" w:hAnsi="Arial" w:cs="Arial"/>
          <w:sz w:val="20"/>
        </w:rPr>
        <w:t xml:space="preserve"> Shen, Shirley</w:t>
      </w:r>
      <w:r w:rsidRPr="00EE3FD3">
        <w:rPr>
          <w:rFonts w:ascii="Arial" w:hAnsi="Arial" w:cs="Arial"/>
          <w:sz w:val="20"/>
          <w:vertAlign w:val="superscript"/>
        </w:rPr>
        <w:t>1</w:t>
      </w:r>
      <w:r w:rsidRPr="00EE3FD3">
        <w:rPr>
          <w:rFonts w:ascii="Arial" w:hAnsi="Arial" w:cs="Arial"/>
          <w:sz w:val="20"/>
        </w:rPr>
        <w:t xml:space="preserve"> Taylor, Edward</w:t>
      </w:r>
      <w:r w:rsidRPr="00EE3FD3">
        <w:rPr>
          <w:rFonts w:ascii="Arial" w:hAnsi="Arial" w:cs="Arial"/>
          <w:sz w:val="20"/>
          <w:vertAlign w:val="superscript"/>
        </w:rPr>
        <w:t>1</w:t>
      </w:r>
      <w:r w:rsidRPr="00EE3FD3">
        <w:rPr>
          <w:rFonts w:ascii="Arial" w:hAnsi="Arial" w:cs="Arial"/>
          <w:sz w:val="20"/>
        </w:rPr>
        <w:t xml:space="preserve"> Munro, Fran</w:t>
      </w:r>
      <w:r w:rsidRPr="00EE3FD3">
        <w:rPr>
          <w:rFonts w:ascii="Arial" w:hAnsi="Arial" w:cs="Arial"/>
          <w:sz w:val="20"/>
          <w:vertAlign w:val="superscript"/>
        </w:rPr>
        <w:t>1</w:t>
      </w:r>
      <w:r w:rsidRPr="00EE3FD3">
        <w:rPr>
          <w:rFonts w:ascii="Arial" w:hAnsi="Arial" w:cs="Arial"/>
          <w:sz w:val="20"/>
        </w:rPr>
        <w:t xml:space="preserve"> Black, Mik</w:t>
      </w:r>
      <w:r w:rsidRPr="00EE3FD3">
        <w:rPr>
          <w:rFonts w:ascii="Arial" w:hAnsi="Arial" w:cs="Arial"/>
          <w:sz w:val="20"/>
          <w:vertAlign w:val="superscript"/>
        </w:rPr>
        <w:t>1</w:t>
      </w:r>
      <w:r w:rsidRPr="00EE3FD3">
        <w:rPr>
          <w:rFonts w:ascii="Arial" w:hAnsi="Arial" w:cs="Arial"/>
          <w:sz w:val="20"/>
        </w:rPr>
        <w:t xml:space="preserve"> </w:t>
      </w:r>
      <w:proofErr w:type="spellStart"/>
      <w:r w:rsidRPr="00EE3FD3">
        <w:rPr>
          <w:rFonts w:ascii="Arial" w:hAnsi="Arial" w:cs="Arial"/>
          <w:sz w:val="20"/>
        </w:rPr>
        <w:t>Fazekas</w:t>
      </w:r>
      <w:proofErr w:type="spellEnd"/>
      <w:r w:rsidRPr="00EE3FD3">
        <w:rPr>
          <w:rFonts w:ascii="Arial" w:hAnsi="Arial" w:cs="Arial"/>
          <w:sz w:val="20"/>
        </w:rPr>
        <w:t xml:space="preserve"> De St </w:t>
      </w:r>
      <w:proofErr w:type="spellStart"/>
      <w:r w:rsidRPr="00EE3FD3">
        <w:rPr>
          <w:rFonts w:ascii="Arial" w:hAnsi="Arial" w:cs="Arial"/>
          <w:sz w:val="20"/>
        </w:rPr>
        <w:t>Groth</w:t>
      </w:r>
      <w:proofErr w:type="spellEnd"/>
      <w:r w:rsidRPr="00EE3FD3">
        <w:rPr>
          <w:rFonts w:ascii="Arial" w:hAnsi="Arial" w:cs="Arial"/>
          <w:sz w:val="20"/>
        </w:rPr>
        <w:t>, Barbara</w:t>
      </w:r>
      <w:r w:rsidRPr="00EE3FD3">
        <w:rPr>
          <w:rFonts w:ascii="Arial" w:hAnsi="Arial" w:cs="Arial"/>
          <w:sz w:val="20"/>
          <w:vertAlign w:val="superscript"/>
        </w:rPr>
        <w:t>2</w:t>
      </w:r>
      <w:r w:rsidRPr="00EE3FD3">
        <w:rPr>
          <w:rFonts w:ascii="Arial" w:hAnsi="Arial" w:cs="Arial"/>
          <w:sz w:val="20"/>
        </w:rPr>
        <w:t xml:space="preserve">, </w:t>
      </w:r>
      <w:proofErr w:type="spellStart"/>
      <w:r w:rsidRPr="00EE3FD3">
        <w:rPr>
          <w:rFonts w:ascii="Arial" w:hAnsi="Arial" w:cs="Arial"/>
          <w:sz w:val="20"/>
        </w:rPr>
        <w:t>Mcguire</w:t>
      </w:r>
      <w:proofErr w:type="spellEnd"/>
      <w:r w:rsidRPr="00EE3FD3">
        <w:rPr>
          <w:rFonts w:ascii="Arial" w:hAnsi="Arial" w:cs="Arial"/>
          <w:sz w:val="20"/>
        </w:rPr>
        <w:t>, Helen</w:t>
      </w:r>
      <w:r w:rsidRPr="00EE3FD3">
        <w:rPr>
          <w:rFonts w:ascii="Arial" w:hAnsi="Arial" w:cs="Arial"/>
          <w:sz w:val="20"/>
          <w:vertAlign w:val="superscript"/>
        </w:rPr>
        <w:t>2</w:t>
      </w:r>
      <w:r w:rsidRPr="00EE3FD3">
        <w:rPr>
          <w:rFonts w:ascii="Arial" w:hAnsi="Arial" w:cs="Arial"/>
          <w:sz w:val="20"/>
        </w:rPr>
        <w:t>, Kemp, Roslyn</w:t>
      </w:r>
      <w:r w:rsidRPr="00EE3FD3">
        <w:rPr>
          <w:rFonts w:ascii="Arial" w:hAnsi="Arial" w:cs="Arial"/>
          <w:sz w:val="20"/>
          <w:vertAlign w:val="superscript"/>
        </w:rPr>
        <w:t>1</w:t>
      </w:r>
      <w:r w:rsidRPr="00EE3FD3">
        <w:rPr>
          <w:rFonts w:ascii="Arial" w:hAnsi="Arial" w:cs="Arial"/>
          <w:sz w:val="20"/>
        </w:rPr>
        <w:t>.</w:t>
      </w:r>
    </w:p>
    <w:p w:rsidR="004F6BFD" w:rsidRPr="00EE3FD3" w:rsidRDefault="004F6BFD">
      <w:pPr>
        <w:rPr>
          <w:rFonts w:ascii="Arial" w:hAnsi="Arial" w:cs="Arial"/>
        </w:rPr>
      </w:pPr>
    </w:p>
    <w:p w:rsidR="004F6BFD" w:rsidRPr="00EE3FD3" w:rsidRDefault="00EE3FD3">
      <w:pPr>
        <w:rPr>
          <w:rFonts w:ascii="Arial" w:hAnsi="Arial" w:cs="Arial"/>
          <w:i/>
          <w:sz w:val="20"/>
        </w:rPr>
      </w:pPr>
      <w:r w:rsidRPr="00EE3FD3">
        <w:rPr>
          <w:rFonts w:ascii="Arial" w:hAnsi="Arial" w:cs="Arial"/>
          <w:i/>
          <w:sz w:val="20"/>
          <w:vertAlign w:val="superscript"/>
        </w:rPr>
        <w:t>1</w:t>
      </w:r>
      <w:r w:rsidRPr="00EE3FD3">
        <w:rPr>
          <w:rFonts w:ascii="Arial" w:hAnsi="Arial" w:cs="Arial"/>
          <w:i/>
          <w:sz w:val="20"/>
        </w:rPr>
        <w:t xml:space="preserve"> The University of Otago, Dunedin, New Zealand</w:t>
      </w:r>
    </w:p>
    <w:p w:rsidR="004F6BFD" w:rsidRPr="00EE3FD3" w:rsidRDefault="00EE3FD3">
      <w:pPr>
        <w:rPr>
          <w:rFonts w:ascii="Arial" w:hAnsi="Arial" w:cs="Arial"/>
          <w:i/>
          <w:vertAlign w:val="superscript"/>
        </w:rPr>
      </w:pPr>
      <w:r w:rsidRPr="00EE3FD3">
        <w:rPr>
          <w:rFonts w:ascii="Arial" w:hAnsi="Arial" w:cs="Arial"/>
          <w:vertAlign w:val="superscript"/>
        </w:rPr>
        <w:t>2</w:t>
      </w:r>
      <w:r w:rsidRPr="00EE3FD3">
        <w:rPr>
          <w:rFonts w:ascii="Arial" w:hAnsi="Arial" w:cs="Arial"/>
        </w:rPr>
        <w:t xml:space="preserve"> </w:t>
      </w:r>
      <w:r w:rsidRPr="00EE3FD3">
        <w:rPr>
          <w:rFonts w:ascii="Arial" w:hAnsi="Arial" w:cs="Arial"/>
          <w:i/>
          <w:sz w:val="20"/>
          <w:shd w:val="clear" w:color="auto" w:fill="FFFFFF"/>
        </w:rPr>
        <w:t>The University of Sydney,</w:t>
      </w:r>
      <w:r w:rsidRPr="00EE3FD3">
        <w:rPr>
          <w:rFonts w:ascii="Arial" w:hAnsi="Arial" w:cs="Arial"/>
          <w:sz w:val="20"/>
          <w:shd w:val="clear" w:color="auto" w:fill="FFFFFF"/>
        </w:rPr>
        <w:t xml:space="preserve"> </w:t>
      </w:r>
      <w:r w:rsidRPr="00EE3FD3">
        <w:rPr>
          <w:rFonts w:ascii="Arial" w:hAnsi="Arial" w:cs="Arial"/>
          <w:i/>
          <w:sz w:val="20"/>
          <w:shd w:val="clear" w:color="auto" w:fill="FFFFFF"/>
        </w:rPr>
        <w:t>Sydney, Australia</w:t>
      </w:r>
    </w:p>
    <w:p w:rsidR="004F6BFD" w:rsidRPr="00EE3FD3" w:rsidRDefault="004F6BFD">
      <w:pPr>
        <w:rPr>
          <w:rFonts w:ascii="Arial" w:hAnsi="Arial" w:cs="Arial"/>
        </w:rPr>
      </w:pPr>
    </w:p>
    <w:p w:rsidR="004F6BFD" w:rsidRPr="00EE3FD3" w:rsidRDefault="00EE3FD3">
      <w:pPr>
        <w:jc w:val="both"/>
        <w:rPr>
          <w:rFonts w:ascii="Arial" w:hAnsi="Arial" w:cs="Arial"/>
          <w:sz w:val="20"/>
        </w:rPr>
      </w:pPr>
      <w:r w:rsidRPr="00EE3FD3">
        <w:rPr>
          <w:rFonts w:ascii="Arial" w:hAnsi="Arial" w:cs="Arial"/>
          <w:sz w:val="20"/>
        </w:rPr>
        <w:t xml:space="preserve">Colorectal cancer (CRC) has the third highest incidence rate of any cancer in New Zealand. Immune cells play an important role </w:t>
      </w:r>
      <w:r w:rsidRPr="00EE3FD3">
        <w:rPr>
          <w:rFonts w:ascii="Arial" w:hAnsi="Arial" w:cs="Arial"/>
          <w:sz w:val="20"/>
        </w:rPr>
        <w:t xml:space="preserve">in determining CRC disease progression. T cell infiltration, in particular, is associated with disease outcome and has been incorporated into a new prognostic test called the </w:t>
      </w:r>
      <w:proofErr w:type="spellStart"/>
      <w:r w:rsidRPr="00EE3FD3">
        <w:rPr>
          <w:rFonts w:ascii="Arial" w:hAnsi="Arial" w:cs="Arial"/>
          <w:sz w:val="20"/>
        </w:rPr>
        <w:t>Immunoscore</w:t>
      </w:r>
      <w:proofErr w:type="spellEnd"/>
      <w:r w:rsidRPr="00EE3FD3">
        <w:rPr>
          <w:rFonts w:ascii="Arial" w:hAnsi="Arial" w:cs="Arial"/>
          <w:sz w:val="20"/>
        </w:rPr>
        <w:t>. However, T cell populations are highly diverse and recent work in ou</w:t>
      </w:r>
      <w:r w:rsidRPr="00EE3FD3">
        <w:rPr>
          <w:rFonts w:ascii="Arial" w:hAnsi="Arial" w:cs="Arial"/>
          <w:sz w:val="20"/>
        </w:rPr>
        <w:t>r laboratory has demonstrated that the infiltration frequency of specific population of regulatory T cells (</w:t>
      </w:r>
      <w:proofErr w:type="spellStart"/>
      <w:r w:rsidRPr="00EE3FD3">
        <w:rPr>
          <w:rFonts w:ascii="Arial" w:hAnsi="Arial" w:cs="Arial"/>
          <w:sz w:val="20"/>
        </w:rPr>
        <w:t>Tregs</w:t>
      </w:r>
      <w:proofErr w:type="spellEnd"/>
      <w:r w:rsidRPr="00EE3FD3">
        <w:rPr>
          <w:rFonts w:ascii="Arial" w:hAnsi="Arial" w:cs="Arial"/>
          <w:sz w:val="20"/>
        </w:rPr>
        <w:t xml:space="preserve">) improved prognostic stratification. This population of </w:t>
      </w:r>
      <w:proofErr w:type="spellStart"/>
      <w:r w:rsidRPr="00EE3FD3">
        <w:rPr>
          <w:rFonts w:ascii="Arial" w:hAnsi="Arial" w:cs="Arial"/>
          <w:sz w:val="20"/>
        </w:rPr>
        <w:t>Tregs</w:t>
      </w:r>
      <w:proofErr w:type="spellEnd"/>
      <w:r w:rsidRPr="00EE3FD3">
        <w:rPr>
          <w:rFonts w:ascii="Arial" w:hAnsi="Arial" w:cs="Arial"/>
          <w:sz w:val="20"/>
        </w:rPr>
        <w:t xml:space="preserve"> expresses the transcription factor BLIMP-1. The underlying mechanism of protecti</w:t>
      </w:r>
      <w:r w:rsidRPr="00EE3FD3">
        <w:rPr>
          <w:rFonts w:ascii="Arial" w:hAnsi="Arial" w:cs="Arial"/>
          <w:sz w:val="20"/>
        </w:rPr>
        <w:t>on, however, has not yet been elucidated.</w:t>
      </w:r>
    </w:p>
    <w:p w:rsidR="004F6BFD" w:rsidRPr="00EE3FD3" w:rsidRDefault="00EE3FD3">
      <w:pPr>
        <w:rPr>
          <w:rFonts w:ascii="Arial" w:hAnsi="Arial" w:cs="Arial"/>
          <w:sz w:val="20"/>
        </w:rPr>
      </w:pPr>
      <w:r w:rsidRPr="00EE3FD3">
        <w:rPr>
          <w:rFonts w:ascii="Arial" w:hAnsi="Arial" w:cs="Arial"/>
          <w:sz w:val="20"/>
        </w:rPr>
        <w:t> </w:t>
      </w:r>
    </w:p>
    <w:p w:rsidR="004F6BFD" w:rsidRPr="00EE3FD3" w:rsidRDefault="00EE3FD3">
      <w:pPr>
        <w:jc w:val="both"/>
        <w:rPr>
          <w:rFonts w:ascii="Arial" w:hAnsi="Arial" w:cs="Arial"/>
          <w:sz w:val="20"/>
        </w:rPr>
      </w:pPr>
      <w:r w:rsidRPr="00EE3FD3">
        <w:rPr>
          <w:rFonts w:ascii="Arial" w:hAnsi="Arial" w:cs="Arial"/>
          <w:sz w:val="20"/>
        </w:rPr>
        <w:t>The advent of new technologies, such as mass cytometry, for studying immune cells requires the development of new techniques to analyse these populations. This substantial increase in data dimensionality limits t</w:t>
      </w:r>
      <w:r w:rsidRPr="00EE3FD3">
        <w:rPr>
          <w:rFonts w:ascii="Arial" w:hAnsi="Arial" w:cs="Arial"/>
          <w:sz w:val="20"/>
        </w:rPr>
        <w:t>he use of standard analysis techniques. Clustering and dimensionality reduction techniques have therefore been developed to visualize these complex datasets.</w:t>
      </w:r>
    </w:p>
    <w:p w:rsidR="004F6BFD" w:rsidRPr="00EE3FD3" w:rsidRDefault="00EE3FD3">
      <w:pPr>
        <w:jc w:val="both"/>
        <w:rPr>
          <w:rFonts w:ascii="Arial" w:hAnsi="Arial" w:cs="Arial"/>
          <w:sz w:val="20"/>
        </w:rPr>
      </w:pPr>
      <w:r w:rsidRPr="00EE3FD3">
        <w:rPr>
          <w:rFonts w:ascii="Arial" w:hAnsi="Arial" w:cs="Arial"/>
          <w:sz w:val="20"/>
        </w:rPr>
        <w:t> </w:t>
      </w:r>
    </w:p>
    <w:p w:rsidR="004F6BFD" w:rsidRPr="00EE3FD3" w:rsidRDefault="00EE3FD3">
      <w:pPr>
        <w:jc w:val="both"/>
        <w:rPr>
          <w:rFonts w:ascii="Arial" w:hAnsi="Arial" w:cs="Arial"/>
          <w:sz w:val="20"/>
        </w:rPr>
      </w:pPr>
      <w:r w:rsidRPr="00EE3FD3">
        <w:rPr>
          <w:rFonts w:ascii="Arial" w:hAnsi="Arial" w:cs="Arial"/>
          <w:sz w:val="20"/>
        </w:rPr>
        <w:t>Here, mass cytometry was used to assess the frequency and phenotype of BLIMP-1</w:t>
      </w:r>
      <w:r w:rsidRPr="00EE3FD3">
        <w:rPr>
          <w:rFonts w:ascii="Arial" w:hAnsi="Arial" w:cs="Arial"/>
          <w:sz w:val="20"/>
          <w:vertAlign w:val="superscript"/>
        </w:rPr>
        <w:t>+</w:t>
      </w:r>
      <w:r w:rsidRPr="00EE3FD3">
        <w:rPr>
          <w:rFonts w:ascii="Arial" w:hAnsi="Arial" w:cs="Arial"/>
          <w:sz w:val="20"/>
        </w:rPr>
        <w:t> </w:t>
      </w:r>
      <w:proofErr w:type="spellStart"/>
      <w:r w:rsidRPr="00EE3FD3">
        <w:rPr>
          <w:rFonts w:ascii="Arial" w:hAnsi="Arial" w:cs="Arial"/>
          <w:sz w:val="20"/>
        </w:rPr>
        <w:t>Tregs</w:t>
      </w:r>
      <w:proofErr w:type="spellEnd"/>
      <w:r w:rsidRPr="00EE3FD3">
        <w:rPr>
          <w:rFonts w:ascii="Arial" w:hAnsi="Arial" w:cs="Arial"/>
          <w:sz w:val="20"/>
        </w:rPr>
        <w:t xml:space="preserve"> in tumour </w:t>
      </w:r>
      <w:r w:rsidRPr="00EE3FD3">
        <w:rPr>
          <w:rFonts w:ascii="Arial" w:hAnsi="Arial" w:cs="Arial"/>
          <w:sz w:val="20"/>
        </w:rPr>
        <w:t xml:space="preserve">and non-tumour bowel (NTB) obtained fresh from CRC patients undergoing bowel resection at Dunedin Hospital. This data was analysed using network cluster analyses including </w:t>
      </w:r>
      <w:proofErr w:type="spellStart"/>
      <w:r w:rsidRPr="00EE3FD3">
        <w:rPr>
          <w:rFonts w:ascii="Arial" w:hAnsi="Arial" w:cs="Arial"/>
          <w:sz w:val="20"/>
        </w:rPr>
        <w:t>SCAFFoLD</w:t>
      </w:r>
      <w:proofErr w:type="spellEnd"/>
      <w:r w:rsidRPr="00EE3FD3">
        <w:rPr>
          <w:rFonts w:ascii="Arial" w:hAnsi="Arial" w:cs="Arial"/>
          <w:sz w:val="20"/>
        </w:rPr>
        <w:t>, VORTEX and CITRUS. These analyses revealed a significant increase in the f</w:t>
      </w:r>
      <w:r w:rsidRPr="00EE3FD3">
        <w:rPr>
          <w:rFonts w:ascii="Arial" w:hAnsi="Arial" w:cs="Arial"/>
          <w:sz w:val="20"/>
        </w:rPr>
        <w:t xml:space="preserve">requency of both total </w:t>
      </w:r>
      <w:proofErr w:type="spellStart"/>
      <w:r w:rsidRPr="00EE3FD3">
        <w:rPr>
          <w:rFonts w:ascii="Arial" w:hAnsi="Arial" w:cs="Arial"/>
          <w:sz w:val="20"/>
        </w:rPr>
        <w:t>Tregs</w:t>
      </w:r>
      <w:proofErr w:type="spellEnd"/>
      <w:r w:rsidRPr="00EE3FD3">
        <w:rPr>
          <w:rFonts w:ascii="Arial" w:hAnsi="Arial" w:cs="Arial"/>
          <w:sz w:val="20"/>
        </w:rPr>
        <w:t xml:space="preserve"> (a validation of previous work in our lab) and BLIMP-1</w:t>
      </w:r>
      <w:r w:rsidRPr="00EE3FD3">
        <w:rPr>
          <w:rFonts w:ascii="Arial" w:hAnsi="Arial" w:cs="Arial"/>
          <w:sz w:val="20"/>
          <w:vertAlign w:val="superscript"/>
        </w:rPr>
        <w:t>+</w:t>
      </w:r>
      <w:r w:rsidRPr="00EE3FD3">
        <w:rPr>
          <w:rFonts w:ascii="Arial" w:hAnsi="Arial" w:cs="Arial"/>
          <w:sz w:val="20"/>
        </w:rPr>
        <w:t> </w:t>
      </w:r>
      <w:proofErr w:type="spellStart"/>
      <w:r w:rsidRPr="00EE3FD3">
        <w:rPr>
          <w:rFonts w:ascii="Arial" w:hAnsi="Arial" w:cs="Arial"/>
          <w:sz w:val="20"/>
        </w:rPr>
        <w:t>Tregs</w:t>
      </w:r>
      <w:proofErr w:type="spellEnd"/>
      <w:r w:rsidRPr="00EE3FD3">
        <w:rPr>
          <w:rFonts w:ascii="Arial" w:hAnsi="Arial" w:cs="Arial"/>
          <w:sz w:val="20"/>
        </w:rPr>
        <w:t xml:space="preserve"> in the tumour compared to NTB. Further, CITRUS analysis revealed that an increase in BLIMP-1</w:t>
      </w:r>
      <w:r w:rsidRPr="00EE3FD3">
        <w:rPr>
          <w:rFonts w:ascii="Arial" w:hAnsi="Arial" w:cs="Arial"/>
          <w:sz w:val="20"/>
          <w:vertAlign w:val="superscript"/>
        </w:rPr>
        <w:t>+</w:t>
      </w:r>
      <w:r w:rsidRPr="00EE3FD3">
        <w:rPr>
          <w:rFonts w:ascii="Arial" w:hAnsi="Arial" w:cs="Arial"/>
          <w:sz w:val="20"/>
        </w:rPr>
        <w:t> </w:t>
      </w:r>
      <w:proofErr w:type="spellStart"/>
      <w:r w:rsidRPr="00EE3FD3">
        <w:rPr>
          <w:rFonts w:ascii="Arial" w:hAnsi="Arial" w:cs="Arial"/>
          <w:sz w:val="20"/>
        </w:rPr>
        <w:t>Tregs</w:t>
      </w:r>
      <w:proofErr w:type="spellEnd"/>
      <w:r w:rsidRPr="00EE3FD3">
        <w:rPr>
          <w:rFonts w:ascii="Arial" w:hAnsi="Arial" w:cs="Arial"/>
          <w:sz w:val="20"/>
        </w:rPr>
        <w:t xml:space="preserve"> was a classifying, significant feature of the tumour tissue compa</w:t>
      </w:r>
      <w:r w:rsidRPr="00EE3FD3">
        <w:rPr>
          <w:rFonts w:ascii="Arial" w:hAnsi="Arial" w:cs="Arial"/>
          <w:sz w:val="20"/>
        </w:rPr>
        <w:t>red to NTB; two of seven T cell populations that were present at a greater abundance in the tumour than the NTB were BLIMP-1</w:t>
      </w:r>
      <w:r w:rsidRPr="00EE3FD3">
        <w:rPr>
          <w:rFonts w:ascii="Arial" w:hAnsi="Arial" w:cs="Arial"/>
          <w:sz w:val="20"/>
          <w:vertAlign w:val="superscript"/>
        </w:rPr>
        <w:t>+</w:t>
      </w:r>
      <w:r w:rsidRPr="00EE3FD3">
        <w:rPr>
          <w:rFonts w:ascii="Arial" w:hAnsi="Arial" w:cs="Arial"/>
          <w:sz w:val="20"/>
        </w:rPr>
        <w:t> </w:t>
      </w:r>
      <w:proofErr w:type="spellStart"/>
      <w:r w:rsidRPr="00EE3FD3">
        <w:rPr>
          <w:rFonts w:ascii="Arial" w:hAnsi="Arial" w:cs="Arial"/>
          <w:sz w:val="20"/>
        </w:rPr>
        <w:t>Tregs</w:t>
      </w:r>
      <w:proofErr w:type="spellEnd"/>
      <w:r w:rsidRPr="00EE3FD3">
        <w:rPr>
          <w:rFonts w:ascii="Arial" w:hAnsi="Arial" w:cs="Arial"/>
          <w:sz w:val="20"/>
        </w:rPr>
        <w:t>. These analyses also revealed expression of ICOS, CD45RO and a variety of exhaustion markers on BLIMP-1</w:t>
      </w:r>
      <w:r w:rsidRPr="00EE3FD3">
        <w:rPr>
          <w:rFonts w:ascii="Arial" w:hAnsi="Arial" w:cs="Arial"/>
          <w:sz w:val="20"/>
          <w:vertAlign w:val="superscript"/>
        </w:rPr>
        <w:t>+</w:t>
      </w:r>
      <w:r w:rsidRPr="00EE3FD3">
        <w:rPr>
          <w:rFonts w:ascii="Arial" w:hAnsi="Arial" w:cs="Arial"/>
          <w:sz w:val="20"/>
        </w:rPr>
        <w:t> </w:t>
      </w:r>
      <w:proofErr w:type="spellStart"/>
      <w:r w:rsidRPr="00EE3FD3">
        <w:rPr>
          <w:rFonts w:ascii="Arial" w:hAnsi="Arial" w:cs="Arial"/>
          <w:sz w:val="20"/>
        </w:rPr>
        <w:t>Tregs</w:t>
      </w:r>
      <w:proofErr w:type="spellEnd"/>
      <w:r w:rsidRPr="00EE3FD3">
        <w:rPr>
          <w:rFonts w:ascii="Arial" w:hAnsi="Arial" w:cs="Arial"/>
          <w:sz w:val="20"/>
        </w:rPr>
        <w:t xml:space="preserve"> indicating a </w:t>
      </w:r>
      <w:r w:rsidRPr="00EE3FD3">
        <w:rPr>
          <w:rFonts w:ascii="Arial" w:hAnsi="Arial" w:cs="Arial"/>
          <w:sz w:val="20"/>
        </w:rPr>
        <w:t xml:space="preserve">more activated phenotype than conventional </w:t>
      </w:r>
      <w:proofErr w:type="spellStart"/>
      <w:r w:rsidRPr="00EE3FD3">
        <w:rPr>
          <w:rFonts w:ascii="Arial" w:hAnsi="Arial" w:cs="Arial"/>
          <w:sz w:val="20"/>
        </w:rPr>
        <w:t>Tregs</w:t>
      </w:r>
      <w:proofErr w:type="spellEnd"/>
      <w:r w:rsidRPr="00EE3FD3">
        <w:rPr>
          <w:rFonts w:ascii="Arial" w:hAnsi="Arial" w:cs="Arial"/>
          <w:sz w:val="20"/>
        </w:rPr>
        <w:t>. </w:t>
      </w:r>
    </w:p>
    <w:p w:rsidR="004F6BFD" w:rsidRPr="00EE3FD3" w:rsidRDefault="00EE3FD3">
      <w:pPr>
        <w:jc w:val="both"/>
        <w:rPr>
          <w:rFonts w:ascii="Arial" w:hAnsi="Arial" w:cs="Arial"/>
          <w:sz w:val="20"/>
        </w:rPr>
      </w:pPr>
      <w:r w:rsidRPr="00EE3FD3">
        <w:rPr>
          <w:rFonts w:ascii="Arial" w:hAnsi="Arial" w:cs="Arial"/>
          <w:sz w:val="20"/>
        </w:rPr>
        <w:t> </w:t>
      </w:r>
    </w:p>
    <w:p w:rsidR="004F6BFD" w:rsidRPr="00EE3FD3" w:rsidRDefault="00EE3FD3">
      <w:pPr>
        <w:jc w:val="both"/>
        <w:rPr>
          <w:rFonts w:ascii="Arial" w:hAnsi="Arial" w:cs="Arial"/>
          <w:sz w:val="20"/>
        </w:rPr>
      </w:pPr>
      <w:r w:rsidRPr="00EE3FD3">
        <w:rPr>
          <w:rFonts w:ascii="Arial" w:hAnsi="Arial" w:cs="Arial"/>
          <w:sz w:val="20"/>
        </w:rPr>
        <w:t xml:space="preserve">Together, this work highlights the complexity of T cell responses in colorectal cancer and demonstrates the strength of mass cytometry and network analyses for resolving these populations. Further, this </w:t>
      </w:r>
      <w:r w:rsidRPr="00EE3FD3">
        <w:rPr>
          <w:rFonts w:ascii="Arial" w:hAnsi="Arial" w:cs="Arial"/>
          <w:sz w:val="20"/>
        </w:rPr>
        <w:t>work lays a significant scaffold for developing future prognostic tools to improve patient care.</w:t>
      </w:r>
    </w:p>
    <w:p w:rsidR="004F6BFD" w:rsidRPr="00EE3FD3" w:rsidRDefault="004F6BFD">
      <w:pPr>
        <w:rPr>
          <w:rFonts w:ascii="Arial" w:hAnsi="Arial" w:cs="Arial"/>
          <w:sz w:val="20"/>
        </w:rPr>
        <w:sectPr w:rsidR="004F6BFD" w:rsidRPr="00EE3FD3">
          <w:pgSz w:w="12240" w:h="15840"/>
          <w:pgMar w:top="1133" w:right="850" w:bottom="1133" w:left="1700" w:header="708" w:footer="708" w:gutter="0"/>
          <w:cols w:space="720"/>
        </w:sectPr>
      </w:pPr>
    </w:p>
    <w:p w:rsidR="004F6BFD" w:rsidRPr="00EE3FD3" w:rsidRDefault="004F6BFD">
      <w:pPr>
        <w:rPr>
          <w:rFonts w:ascii="Arial" w:hAnsi="Arial" w:cs="Arial"/>
          <w:sz w:val="20"/>
        </w:rPr>
      </w:pPr>
    </w:p>
    <w:p w:rsidR="004F6BFD" w:rsidRPr="00EE3FD3" w:rsidRDefault="00EE3FD3">
      <w:pPr>
        <w:pStyle w:val="AbstractBookSessionDetails"/>
        <w:rPr>
          <w:rFonts w:ascii="Arial" w:hAnsi="Arial" w:cs="Arial"/>
          <w:sz w:val="20"/>
        </w:rPr>
      </w:pPr>
      <w:r w:rsidRPr="00EE3FD3">
        <w:rPr>
          <w:rFonts w:ascii="Arial" w:hAnsi="Arial" w:cs="Arial"/>
          <w:sz w:val="20"/>
        </w:rPr>
        <w:t>Session six, August 25, 2018, 11:10 AM - 12:50 PM</w:t>
      </w:r>
    </w:p>
    <w:p w:rsidR="004F6BFD" w:rsidRDefault="004F6BFD">
      <w:pPr>
        <w:pStyle w:val="AbstractBookBaseParagraph"/>
        <w:rPr>
          <w:rFonts w:ascii="Arial" w:hAnsi="Arial" w:cs="Arial"/>
          <w:sz w:val="20"/>
        </w:rPr>
      </w:pPr>
    </w:p>
    <w:p w:rsidR="00EE3FD3" w:rsidRPr="00EE3FD3" w:rsidRDefault="00EE3FD3" w:rsidP="00EE3FD3">
      <w:pPr>
        <w:pStyle w:val="AbstractBookPaperTitle"/>
        <w:rPr>
          <w:rFonts w:ascii="Arial" w:hAnsi="Arial"/>
          <w:b/>
          <w:sz w:val="24"/>
        </w:rPr>
      </w:pPr>
      <w:r w:rsidRPr="00EE3FD3">
        <w:rPr>
          <w:rFonts w:ascii="Arial" w:hAnsi="Arial"/>
          <w:b/>
          <w:sz w:val="24"/>
        </w:rPr>
        <w:t>Survival after Breast Conserving Surgery (BCS) Compared to Mastectomy (MTX) in Early Stage Breast Cancer.</w:t>
      </w:r>
    </w:p>
    <w:p w:rsidR="00EE3FD3" w:rsidRPr="00EE3FD3" w:rsidRDefault="00EE3FD3" w:rsidP="00EE3FD3">
      <w:pPr>
        <w:pStyle w:val="AbstractBookAuthors"/>
        <w:rPr>
          <w:rFonts w:ascii="Arial" w:hAnsi="Arial" w:cs="Arial"/>
          <w:vertAlign w:val="superscript"/>
        </w:rPr>
      </w:pPr>
      <w:r w:rsidRPr="00EE3FD3">
        <w:rPr>
          <w:rStyle w:val="AbstractBookPresentingAuthor"/>
          <w:rFonts w:ascii="Arial" w:hAnsi="Arial" w:cs="Arial"/>
        </w:rPr>
        <w:t>Mr Shoaib  Abrahimi</w:t>
      </w:r>
      <w:r w:rsidRPr="00EE3FD3">
        <w:rPr>
          <w:rStyle w:val="AbstractBookPresentingAuthor"/>
          <w:rFonts w:ascii="Arial" w:hAnsi="Arial" w:cs="Arial"/>
          <w:vertAlign w:val="superscript"/>
        </w:rPr>
        <w:t>1</w:t>
      </w:r>
      <w:r w:rsidRPr="00EE3FD3">
        <w:rPr>
          <w:rFonts w:ascii="Arial" w:hAnsi="Arial" w:cs="Arial"/>
        </w:rPr>
        <w:t xml:space="preserve">, Dr  </w:t>
      </w:r>
      <w:proofErr w:type="spellStart"/>
      <w:r w:rsidRPr="00EE3FD3">
        <w:rPr>
          <w:rFonts w:ascii="Arial" w:hAnsi="Arial" w:cs="Arial"/>
        </w:rPr>
        <w:t>Sandar</w:t>
      </w:r>
      <w:proofErr w:type="spellEnd"/>
      <w:r w:rsidRPr="00EE3FD3">
        <w:rPr>
          <w:rFonts w:ascii="Arial" w:hAnsi="Arial" w:cs="Arial"/>
        </w:rPr>
        <w:t xml:space="preserve">  Tintin</w:t>
      </w:r>
      <w:r w:rsidRPr="00EE3FD3">
        <w:rPr>
          <w:rFonts w:ascii="Arial" w:hAnsi="Arial" w:cs="Arial"/>
          <w:vertAlign w:val="superscript"/>
        </w:rPr>
        <w:t>1</w:t>
      </w:r>
      <w:r w:rsidRPr="00EE3FD3">
        <w:rPr>
          <w:rFonts w:ascii="Arial" w:hAnsi="Arial" w:cs="Arial"/>
        </w:rPr>
        <w:t>, Professor  Mark  Elwood</w:t>
      </w:r>
      <w:r w:rsidRPr="00EE3FD3">
        <w:rPr>
          <w:rFonts w:ascii="Arial" w:hAnsi="Arial" w:cs="Arial"/>
          <w:vertAlign w:val="superscript"/>
        </w:rPr>
        <w:t>1</w:t>
      </w:r>
      <w:r w:rsidRPr="00EE3FD3">
        <w:rPr>
          <w:rFonts w:ascii="Arial" w:hAnsi="Arial" w:cs="Arial"/>
        </w:rPr>
        <w:t>, Associate Professor Ian  Campbell</w:t>
      </w:r>
      <w:r w:rsidRPr="00EE3FD3">
        <w:rPr>
          <w:rFonts w:ascii="Arial" w:hAnsi="Arial" w:cs="Arial"/>
          <w:vertAlign w:val="superscript"/>
        </w:rPr>
        <w:t>1,2</w:t>
      </w:r>
      <w:r w:rsidRPr="00EE3FD3">
        <w:rPr>
          <w:rFonts w:ascii="Arial" w:hAnsi="Arial" w:cs="Arial"/>
        </w:rPr>
        <w:t>, Professor  Ross Lawrenson</w:t>
      </w:r>
      <w:r w:rsidRPr="00EE3FD3">
        <w:rPr>
          <w:rFonts w:ascii="Arial" w:hAnsi="Arial" w:cs="Arial"/>
          <w:vertAlign w:val="superscript"/>
        </w:rPr>
        <w:t>3</w:t>
      </w:r>
    </w:p>
    <w:p w:rsidR="00EE3FD3" w:rsidRPr="00EE3FD3" w:rsidRDefault="00EE3FD3" w:rsidP="00EE3FD3">
      <w:pPr>
        <w:pStyle w:val="AbstractBookAffiliations"/>
        <w:rPr>
          <w:rFonts w:ascii="Arial" w:hAnsi="Arial" w:cs="Arial"/>
        </w:rPr>
      </w:pPr>
      <w:r w:rsidRPr="00EE3FD3">
        <w:rPr>
          <w:rFonts w:ascii="Arial" w:hAnsi="Arial" w:cs="Arial"/>
          <w:vertAlign w:val="superscript"/>
        </w:rPr>
        <w:t>1</w:t>
      </w:r>
      <w:r w:rsidRPr="00EE3FD3">
        <w:rPr>
          <w:rFonts w:ascii="Arial" w:hAnsi="Arial" w:cs="Arial"/>
        </w:rPr>
        <w:t xml:space="preserve">The University of Auckland , Auckland , New Zealand, </w:t>
      </w:r>
      <w:r w:rsidRPr="00EE3FD3">
        <w:rPr>
          <w:rFonts w:ascii="Arial" w:hAnsi="Arial" w:cs="Arial"/>
          <w:vertAlign w:val="superscript"/>
        </w:rPr>
        <w:t>2</w:t>
      </w:r>
      <w:r w:rsidRPr="00EE3FD3">
        <w:rPr>
          <w:rFonts w:ascii="Arial" w:hAnsi="Arial" w:cs="Arial"/>
        </w:rPr>
        <w:t xml:space="preserve">Waikato Hospital , Hamilton West, New Zealand , </w:t>
      </w:r>
      <w:r w:rsidRPr="00EE3FD3">
        <w:rPr>
          <w:rFonts w:ascii="Arial" w:hAnsi="Arial" w:cs="Arial"/>
          <w:vertAlign w:val="superscript"/>
        </w:rPr>
        <w:t>3</w:t>
      </w:r>
      <w:r w:rsidRPr="00EE3FD3">
        <w:rPr>
          <w:rFonts w:ascii="Arial" w:hAnsi="Arial" w:cs="Arial"/>
        </w:rPr>
        <w:t>The University of Waikato , Hillcrest, New Zealand</w:t>
      </w:r>
    </w:p>
    <w:p w:rsidR="00EE3FD3" w:rsidRPr="00EE3FD3" w:rsidRDefault="00EE3FD3">
      <w:pPr>
        <w:pStyle w:val="AbstractBookBaseParagraph"/>
        <w:rPr>
          <w:rFonts w:ascii="Arial" w:hAnsi="Arial" w:cs="Arial"/>
          <w:sz w:val="20"/>
        </w:rPr>
      </w:pPr>
    </w:p>
    <w:p w:rsidR="004F6BFD" w:rsidRPr="00EE3FD3" w:rsidRDefault="00EE3FD3">
      <w:pPr>
        <w:rPr>
          <w:rFonts w:ascii="Arial" w:hAnsi="Arial" w:cs="Arial"/>
          <w:b/>
          <w:sz w:val="20"/>
        </w:rPr>
      </w:pPr>
      <w:r w:rsidRPr="00EE3FD3">
        <w:rPr>
          <w:rFonts w:ascii="Arial" w:hAnsi="Arial" w:cs="Arial"/>
          <w:b/>
          <w:sz w:val="20"/>
        </w:rPr>
        <w:t>Abstract</w:t>
      </w:r>
    </w:p>
    <w:p w:rsidR="004F6BFD" w:rsidRPr="00EE3FD3" w:rsidRDefault="00EE3FD3">
      <w:pPr>
        <w:rPr>
          <w:rFonts w:ascii="Arial" w:hAnsi="Arial" w:cs="Arial"/>
          <w:b/>
          <w:sz w:val="20"/>
        </w:rPr>
      </w:pPr>
      <w:r w:rsidRPr="00EE3FD3">
        <w:rPr>
          <w:rFonts w:ascii="Arial" w:hAnsi="Arial" w:cs="Arial"/>
          <w:b/>
          <w:sz w:val="20"/>
        </w:rPr>
        <w:t>Background</w:t>
      </w:r>
    </w:p>
    <w:p w:rsidR="004F6BFD" w:rsidRPr="00EE3FD3" w:rsidRDefault="00EE3FD3">
      <w:pPr>
        <w:spacing w:line="276" w:lineRule="auto"/>
        <w:rPr>
          <w:rFonts w:ascii="Arial" w:hAnsi="Arial" w:cs="Arial"/>
          <w:sz w:val="20"/>
        </w:rPr>
      </w:pPr>
      <w:r w:rsidRPr="00EE3FD3">
        <w:rPr>
          <w:rFonts w:ascii="Arial" w:hAnsi="Arial" w:cs="Arial"/>
          <w:sz w:val="20"/>
        </w:rPr>
        <w:t>Earlier randomised control trials illustrate equal survival outcomes afte</w:t>
      </w:r>
      <w:r w:rsidRPr="00EE3FD3">
        <w:rPr>
          <w:rFonts w:ascii="Arial" w:hAnsi="Arial" w:cs="Arial"/>
          <w:sz w:val="20"/>
        </w:rPr>
        <w:t xml:space="preserve">r breast conserving surgery plus radiotherapy (BCS+RT) and mastectomy (MTX) in women with early stage breast cancer (ESBC) whereas more recent observational studies suggest BCS+RT is better or at least equal to MTX. </w:t>
      </w:r>
    </w:p>
    <w:p w:rsidR="004F6BFD" w:rsidRPr="00EE3FD3" w:rsidRDefault="00EE3FD3">
      <w:pPr>
        <w:spacing w:line="276" w:lineRule="auto"/>
        <w:rPr>
          <w:rFonts w:ascii="Arial" w:hAnsi="Arial" w:cs="Arial"/>
          <w:b/>
          <w:sz w:val="20"/>
        </w:rPr>
      </w:pPr>
      <w:r w:rsidRPr="00EE3FD3">
        <w:rPr>
          <w:rFonts w:ascii="Arial" w:hAnsi="Arial" w:cs="Arial"/>
          <w:b/>
          <w:sz w:val="20"/>
        </w:rPr>
        <w:t xml:space="preserve">Aims: </w:t>
      </w:r>
    </w:p>
    <w:p w:rsidR="004F6BFD" w:rsidRPr="00EE3FD3" w:rsidRDefault="00EE3FD3">
      <w:pPr>
        <w:pStyle w:val="ThesisAbstractText"/>
        <w:spacing w:line="276" w:lineRule="auto"/>
        <w:rPr>
          <w:rFonts w:ascii="Arial" w:hAnsi="Arial" w:cs="Arial"/>
          <w:sz w:val="20"/>
        </w:rPr>
      </w:pPr>
      <w:r w:rsidRPr="00EE3FD3">
        <w:rPr>
          <w:rFonts w:ascii="Arial" w:hAnsi="Arial" w:cs="Arial"/>
          <w:sz w:val="20"/>
        </w:rPr>
        <w:t xml:space="preserve">To compare breast cancer </w:t>
      </w:r>
      <w:r w:rsidRPr="00EE3FD3">
        <w:rPr>
          <w:rFonts w:ascii="Arial" w:hAnsi="Arial" w:cs="Arial"/>
          <w:sz w:val="20"/>
        </w:rPr>
        <w:t>specific mortality and overall mortality after BCS, BCS+RT, MTX and MTX+RT in New Zealand women with early stage breast cancer.</w:t>
      </w:r>
    </w:p>
    <w:p w:rsidR="004F6BFD" w:rsidRPr="00EE3FD3" w:rsidRDefault="00EE3FD3">
      <w:pPr>
        <w:spacing w:line="276" w:lineRule="auto"/>
        <w:rPr>
          <w:rFonts w:ascii="Arial" w:hAnsi="Arial" w:cs="Arial"/>
          <w:b/>
          <w:sz w:val="20"/>
        </w:rPr>
      </w:pPr>
      <w:r w:rsidRPr="00EE3FD3">
        <w:rPr>
          <w:rFonts w:ascii="Arial" w:hAnsi="Arial" w:cs="Arial"/>
          <w:b/>
          <w:sz w:val="20"/>
        </w:rPr>
        <w:t>Methods</w:t>
      </w:r>
    </w:p>
    <w:p w:rsidR="004F6BFD" w:rsidRPr="00EE3FD3" w:rsidRDefault="00EE3FD3">
      <w:pPr>
        <w:spacing w:line="276" w:lineRule="auto"/>
        <w:rPr>
          <w:rFonts w:ascii="Arial" w:hAnsi="Arial" w:cs="Arial"/>
          <w:sz w:val="20"/>
        </w:rPr>
      </w:pPr>
      <w:r w:rsidRPr="00EE3FD3">
        <w:rPr>
          <w:rFonts w:ascii="Arial" w:hAnsi="Arial" w:cs="Arial"/>
          <w:sz w:val="20"/>
        </w:rPr>
        <w:t>This population-based study involves all women who were diagnosed with ESBC (Stage I-</w:t>
      </w:r>
      <w:proofErr w:type="spellStart"/>
      <w:r w:rsidRPr="00EE3FD3">
        <w:rPr>
          <w:rFonts w:ascii="Arial" w:hAnsi="Arial" w:cs="Arial"/>
          <w:sz w:val="20"/>
        </w:rPr>
        <w:t>IIb</w:t>
      </w:r>
      <w:proofErr w:type="spellEnd"/>
      <w:r w:rsidRPr="00EE3FD3">
        <w:rPr>
          <w:rFonts w:ascii="Arial" w:hAnsi="Arial" w:cs="Arial"/>
          <w:sz w:val="20"/>
        </w:rPr>
        <w:t>) in the four health regions bet</w:t>
      </w:r>
      <w:r w:rsidRPr="00EE3FD3">
        <w:rPr>
          <w:rFonts w:ascii="Arial" w:hAnsi="Arial" w:cs="Arial"/>
          <w:sz w:val="20"/>
        </w:rPr>
        <w:t>ween 1</w:t>
      </w:r>
      <w:r w:rsidRPr="00EE3FD3">
        <w:rPr>
          <w:rFonts w:ascii="Arial" w:hAnsi="Arial" w:cs="Arial"/>
          <w:sz w:val="20"/>
          <w:vertAlign w:val="superscript"/>
        </w:rPr>
        <w:t>st</w:t>
      </w:r>
      <w:r w:rsidRPr="00EE3FD3">
        <w:rPr>
          <w:rFonts w:ascii="Arial" w:hAnsi="Arial" w:cs="Arial"/>
          <w:sz w:val="20"/>
        </w:rPr>
        <w:t xml:space="preserve"> January 2000 and 30</w:t>
      </w:r>
      <w:r w:rsidRPr="00EE3FD3">
        <w:rPr>
          <w:rFonts w:ascii="Arial" w:hAnsi="Arial" w:cs="Arial"/>
          <w:sz w:val="20"/>
          <w:vertAlign w:val="superscript"/>
        </w:rPr>
        <w:t>th</w:t>
      </w:r>
      <w:r w:rsidRPr="00EE3FD3">
        <w:rPr>
          <w:rFonts w:ascii="Arial" w:hAnsi="Arial" w:cs="Arial"/>
          <w:sz w:val="20"/>
        </w:rPr>
        <w:t xml:space="preserve"> June 2014 and had undergone one of: BCS, BCS+RT, MTX or MTX+RT as their primary treatment. Kaplan Meier estimator and Cox proportional hazard modelling were used to compare hazards of breast cancer specific and overall mortal</w:t>
      </w:r>
      <w:r w:rsidRPr="00EE3FD3">
        <w:rPr>
          <w:rFonts w:ascii="Arial" w:hAnsi="Arial" w:cs="Arial"/>
          <w:sz w:val="20"/>
        </w:rPr>
        <w:t xml:space="preserve">ity across the four types of surgical treatment, and demographic, clinical and systemic treatment factors were adjusted.   </w:t>
      </w:r>
    </w:p>
    <w:p w:rsidR="004F6BFD" w:rsidRPr="00EE3FD3" w:rsidRDefault="00EE3FD3">
      <w:pPr>
        <w:spacing w:line="276" w:lineRule="auto"/>
        <w:rPr>
          <w:rFonts w:ascii="Arial" w:hAnsi="Arial" w:cs="Arial"/>
          <w:b/>
          <w:sz w:val="20"/>
        </w:rPr>
      </w:pPr>
      <w:r w:rsidRPr="00EE3FD3">
        <w:rPr>
          <w:rFonts w:ascii="Arial" w:hAnsi="Arial" w:cs="Arial"/>
          <w:b/>
          <w:sz w:val="20"/>
        </w:rPr>
        <w:t>Results</w:t>
      </w:r>
    </w:p>
    <w:p w:rsidR="004F6BFD" w:rsidRPr="00EE3FD3" w:rsidRDefault="00EE3FD3">
      <w:pPr>
        <w:spacing w:line="276" w:lineRule="auto"/>
        <w:rPr>
          <w:rFonts w:ascii="Arial" w:hAnsi="Arial" w:cs="Arial"/>
          <w:sz w:val="20"/>
        </w:rPr>
      </w:pPr>
      <w:r w:rsidRPr="00EE3FD3">
        <w:rPr>
          <w:rFonts w:ascii="Arial" w:hAnsi="Arial" w:cs="Arial"/>
          <w:sz w:val="20"/>
        </w:rPr>
        <w:t>10,289 women were analysed: 5154 (50.1%) received BCS+RT, 1042 (10.1%) BCS, 3069 (29.8%) MTX and 1024 (10.0%) MTX+RT.</w:t>
      </w:r>
    </w:p>
    <w:p w:rsidR="004F6BFD" w:rsidRPr="00EE3FD3" w:rsidRDefault="00EE3FD3">
      <w:pPr>
        <w:spacing w:line="276" w:lineRule="auto"/>
        <w:rPr>
          <w:rFonts w:ascii="Arial" w:hAnsi="Arial" w:cs="Arial"/>
          <w:sz w:val="20"/>
        </w:rPr>
      </w:pPr>
      <w:r w:rsidRPr="00EE3FD3">
        <w:rPr>
          <w:rFonts w:ascii="Arial" w:hAnsi="Arial" w:cs="Arial"/>
          <w:sz w:val="20"/>
        </w:rPr>
        <w:t>Compar</w:t>
      </w:r>
      <w:r w:rsidRPr="00EE3FD3">
        <w:rPr>
          <w:rFonts w:ascii="Arial" w:hAnsi="Arial" w:cs="Arial"/>
          <w:sz w:val="20"/>
        </w:rPr>
        <w:t>ed to women who received BCS+RT, those who received other types of surgical treatment had a higher DSS risk (adjusted HR: 1.78 (95%CI: 1.47-2.14) for BCS; 1.49 (95%CI: 1.20-1.83) for MTX; 1.50 (95% CI: 1.16-1.94) for MTX+RT) as well as OS (adjusted HR: 1.4</w:t>
      </w:r>
      <w:r w:rsidRPr="00EE3FD3">
        <w:rPr>
          <w:rFonts w:ascii="Arial" w:hAnsi="Arial" w:cs="Arial"/>
          <w:sz w:val="20"/>
        </w:rPr>
        <w:t xml:space="preserve">7 (95% CI: 1.47-2.14) for BCS; 1.59 (95% CI: 1.38-1.83) for MTX; 1.49 (95% CI: 1.22-1.82) for MTX+RT. </w:t>
      </w:r>
    </w:p>
    <w:p w:rsidR="004F6BFD" w:rsidRPr="00EE3FD3" w:rsidRDefault="00EE3FD3">
      <w:pPr>
        <w:spacing w:line="276" w:lineRule="auto"/>
        <w:rPr>
          <w:rFonts w:ascii="Arial" w:hAnsi="Arial" w:cs="Arial"/>
          <w:b/>
          <w:sz w:val="20"/>
        </w:rPr>
      </w:pPr>
      <w:r w:rsidRPr="00EE3FD3">
        <w:rPr>
          <w:rFonts w:ascii="Arial" w:hAnsi="Arial" w:cs="Arial"/>
          <w:b/>
          <w:sz w:val="20"/>
        </w:rPr>
        <w:t>Conclusion</w:t>
      </w:r>
    </w:p>
    <w:p w:rsidR="004F6BFD" w:rsidRPr="00EE3FD3" w:rsidRDefault="00EE3FD3">
      <w:pPr>
        <w:spacing w:line="276" w:lineRule="auto"/>
        <w:rPr>
          <w:rFonts w:ascii="Arial" w:hAnsi="Arial" w:cs="Arial"/>
          <w:sz w:val="20"/>
        </w:rPr>
      </w:pPr>
      <w:r w:rsidRPr="00EE3FD3">
        <w:rPr>
          <w:rFonts w:ascii="Arial" w:hAnsi="Arial" w:cs="Arial"/>
          <w:sz w:val="20"/>
        </w:rPr>
        <w:t>BCS+RT is associated with better survival outcomes in New Zealand women with early breast cancer. The findings could be assessed in future ran</w:t>
      </w:r>
      <w:r w:rsidRPr="00EE3FD3">
        <w:rPr>
          <w:rFonts w:ascii="Arial" w:hAnsi="Arial" w:cs="Arial"/>
          <w:sz w:val="20"/>
        </w:rPr>
        <w:t xml:space="preserve">domised trials. </w:t>
      </w:r>
    </w:p>
    <w:sectPr w:rsidR="004F6BFD" w:rsidRPr="00EE3FD3">
      <w:pgSz w:w="12240" w:h="15840"/>
      <w:pgMar w:top="1133" w:right="850" w:bottom="1133" w:left="17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Heading)">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BFD"/>
    <w:rsid w:val="004F6BFD"/>
    <w:rsid w:val="00EE3FD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B7A47F-532D-4715-BCC2-1030FA9D5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BookBaseParagraph">
    <w:name w:val="Abstract Book Base Paragraph"/>
    <w:basedOn w:val="Normal"/>
  </w:style>
  <w:style w:type="paragraph" w:customStyle="1" w:styleId="AbstractBookTOCHeading">
    <w:name w:val="Abstract Book TOC Heading"/>
    <w:basedOn w:val="AbstractBookBaseParagraph"/>
    <w:pPr>
      <w:spacing w:after="480"/>
    </w:pPr>
    <w:rPr>
      <w:rFonts w:ascii="Calibri Light (Heading)" w:hAnsi="Calibri Light (Heading)"/>
      <w:color w:val="2E74B5"/>
      <w:sz w:val="40"/>
    </w:rPr>
  </w:style>
  <w:style w:type="paragraph" w:customStyle="1" w:styleId="AbstractBookTOCPaperTitle">
    <w:name w:val="Abstract Book TOC Paper Title"/>
    <w:basedOn w:val="AbstractBookBaseParagraph"/>
    <w:pPr>
      <w:spacing w:before="96" w:after="144"/>
    </w:pPr>
  </w:style>
  <w:style w:type="paragraph" w:customStyle="1" w:styleId="AbstractBookPaperNumber">
    <w:name w:val="Abstract Book Paper Number"/>
    <w:basedOn w:val="AbstractBookBaseParagraph"/>
    <w:pPr>
      <w:spacing w:after="240"/>
    </w:pPr>
    <w:rPr>
      <w:rFonts w:ascii="Calibri Light (Heading)" w:hAnsi="Calibri Light (Heading)"/>
      <w:sz w:val="32"/>
    </w:rPr>
  </w:style>
  <w:style w:type="paragraph" w:customStyle="1" w:styleId="AbstractBookPaperTitle">
    <w:name w:val="Abstract Book Paper Title"/>
    <w:basedOn w:val="AbstractBookBaseParagraph"/>
    <w:pPr>
      <w:spacing w:after="144"/>
    </w:pPr>
    <w:rPr>
      <w:sz w:val="32"/>
    </w:rPr>
  </w:style>
  <w:style w:type="paragraph" w:customStyle="1" w:styleId="AbstractBookSessionDetails">
    <w:name w:val="Abstract Book Session Details"/>
    <w:basedOn w:val="AbstractBookBaseParagraph"/>
    <w:pPr>
      <w:spacing w:after="240"/>
      <w:jc w:val="right"/>
    </w:pPr>
    <w:rPr>
      <w:rFonts w:ascii="Calibri Light" w:hAnsi="Calibri Light"/>
    </w:rPr>
  </w:style>
  <w:style w:type="paragraph" w:customStyle="1" w:styleId="AbstractBookBiographyHeading">
    <w:name w:val="Abstract Book Biography Heading"/>
    <w:basedOn w:val="AbstractBookBaseParagraph"/>
    <w:rPr>
      <w:rFonts w:ascii="Calibri Light" w:hAnsi="Calibri Light"/>
      <w:b/>
      <w:i/>
    </w:rPr>
  </w:style>
  <w:style w:type="paragraph" w:customStyle="1" w:styleId="AbstractBookBiography">
    <w:name w:val="Abstract Book Biography"/>
    <w:basedOn w:val="AbstractBookBaseParagraph"/>
    <w:pPr>
      <w:spacing w:after="384"/>
    </w:pPr>
    <w:rPr>
      <w:rFonts w:ascii="Calibri Light" w:hAnsi="Calibri Light"/>
      <w:i/>
    </w:rPr>
  </w:style>
  <w:style w:type="paragraph" w:customStyle="1" w:styleId="AbstractBookAuthors">
    <w:name w:val="Abstract Book Authors"/>
    <w:basedOn w:val="AbstractBookBaseParagraph"/>
    <w:rPr>
      <w:rFonts w:ascii="Calibri Light" w:hAnsi="Calibri Light"/>
    </w:rPr>
  </w:style>
  <w:style w:type="paragraph" w:customStyle="1" w:styleId="AbstractBookAffiliations">
    <w:name w:val="Abstract Book Affiliations"/>
    <w:basedOn w:val="AbstractBookBaseParagraph"/>
    <w:pPr>
      <w:spacing w:after="144"/>
    </w:pPr>
    <w:rPr>
      <w:rFonts w:ascii="Calibri Light" w:hAnsi="Calibri Light"/>
      <w:i/>
      <w:sz w:val="20"/>
    </w:rPr>
  </w:style>
  <w:style w:type="paragraph" w:customStyle="1" w:styleId="AbstractBookSuportingDocumentHeader">
    <w:name w:val="Abstract Book Suporting Document Header"/>
    <w:basedOn w:val="AbstractBookBaseParagraph"/>
    <w:pPr>
      <w:spacing w:before="144" w:after="144"/>
    </w:pPr>
    <w:rPr>
      <w:b/>
    </w:rPr>
  </w:style>
  <w:style w:type="paragraph" w:customStyle="1" w:styleId="AbstractBookAuthorIndexLetterHeading">
    <w:name w:val="Abstract Book Author Index Letter Heading"/>
    <w:basedOn w:val="AbstractBookBaseParagraph"/>
    <w:rPr>
      <w:b/>
      <w:sz w:val="40"/>
    </w:rPr>
  </w:style>
  <w:style w:type="paragraph" w:customStyle="1" w:styleId="AbstractBookAuthorIndex">
    <w:name w:val="Abstract Book Author Index"/>
    <w:basedOn w:val="AbstractBookBaseParagraph"/>
  </w:style>
  <w:style w:type="paragraph" w:customStyle="1" w:styleId="EndNoteBibliography">
    <w:name w:val="EndNote Bibliography"/>
    <w:basedOn w:val="Normal"/>
    <w:rPr>
      <w:rFonts w:ascii="Times New Roman" w:hAnsi="Times New Roman"/>
      <w:sz w:val="24"/>
      <w:lang w:val="en-US"/>
    </w:rPr>
  </w:style>
  <w:style w:type="paragraph" w:customStyle="1" w:styleId="ThesisAbstractText">
    <w:name w:val="Thesis Abstract Text"/>
    <w:basedOn w:val="Normal"/>
    <w:pPr>
      <w:spacing w:after="200" w:line="360" w:lineRule="auto"/>
      <w:jc w:val="both"/>
    </w:pPr>
    <w:rPr>
      <w:rFonts w:ascii="Times New Roman" w:hAnsi="Times New Roman"/>
      <w:sz w:val="24"/>
    </w:rPr>
  </w:style>
  <w:style w:type="character" w:styleId="LineNumber">
    <w:name w:val="line number"/>
    <w:basedOn w:val="DefaultParagraphFont"/>
    <w:semiHidden/>
  </w:style>
  <w:style w:type="character" w:styleId="Hyperlink">
    <w:name w:val="Hyperlink"/>
    <w:rPr>
      <w:color w:val="0000FF"/>
      <w:u w:val="single"/>
    </w:rPr>
  </w:style>
  <w:style w:type="character" w:customStyle="1" w:styleId="a">
    <w:basedOn w:val="DefaultParagraphFont"/>
  </w:style>
  <w:style w:type="character" w:customStyle="1" w:styleId="AbstractBookTOCPaperNumber">
    <w:name w:val="Abstract Book TOC Paper Number"/>
    <w:basedOn w:val="DefaultParagraphFont"/>
    <w:rPr>
      <w:b/>
      <w:vanish w:val="0"/>
    </w:rPr>
  </w:style>
  <w:style w:type="character" w:customStyle="1" w:styleId="AbstractBookPresentingAuthor">
    <w:name w:val="Abstract Book Presenting Author"/>
    <w:basedOn w:val="a"/>
    <w:rPr>
      <w:rFonts w:ascii="Calibri Light" w:hAnsi="Calibri Light"/>
      <w:b/>
      <w:vanish w:val="0"/>
    </w:rPr>
  </w:style>
  <w:style w:type="character" w:customStyle="1" w:styleId="apple-converted-space">
    <w:name w:val="apple-converted-space"/>
    <w:basedOn w:val="DefaultParagraphFont"/>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4177</Words>
  <Characters>23810</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IIS APPPOOL\EventsAIR~Production~NextGen.Online~innovators</dc:creator>
  <cp:lastModifiedBy>Charlotte Sloane</cp:lastModifiedBy>
  <cp:revision>2</cp:revision>
  <dcterms:created xsi:type="dcterms:W3CDTF">2018-07-02T23:26:00Z</dcterms:created>
  <dcterms:modified xsi:type="dcterms:W3CDTF">2018-07-02T23:26:00Z</dcterms:modified>
</cp:coreProperties>
</file>